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64" w:rsidRDefault="00D21564" w:rsidP="00D21564">
      <w:pPr>
        <w:spacing w:line="360" w:lineRule="auto"/>
        <w:jc w:val="both"/>
        <w:rPr>
          <w:rFonts w:ascii="Century" w:hAnsi="Century"/>
          <w:b/>
          <w:sz w:val="24"/>
        </w:rPr>
      </w:pPr>
      <w:r w:rsidRPr="006F047B">
        <w:rPr>
          <w:rFonts w:ascii="Century" w:hAnsi="Century"/>
          <w:b/>
          <w:sz w:val="24"/>
        </w:rPr>
        <w:t>3. GEREÇ ve YÖNTEMLER</w:t>
      </w:r>
    </w:p>
    <w:p w:rsidR="00D21564" w:rsidRDefault="00D21564" w:rsidP="00D21564">
      <w:pPr>
        <w:spacing w:line="360" w:lineRule="auto"/>
        <w:jc w:val="both"/>
        <w:rPr>
          <w:rFonts w:ascii="Century" w:hAnsi="Century"/>
          <w:sz w:val="24"/>
        </w:rPr>
      </w:pPr>
      <w:r w:rsidRPr="00973FA6">
        <w:rPr>
          <w:rFonts w:ascii="Century" w:hAnsi="Century"/>
          <w:sz w:val="24"/>
        </w:rPr>
        <w:t>Literatü</w:t>
      </w:r>
      <w:r>
        <w:rPr>
          <w:rFonts w:ascii="Century" w:hAnsi="Century"/>
          <w:sz w:val="24"/>
        </w:rPr>
        <w:t>rde iki laboratuvar yöntemini karşılaştırmak üzere kullanılan çeşitli regresyon yöntemleri ve güven aralığı yaklaşımları bulunmaktadır. Bu yöntemlerin kullanımına ilişkin literatür bilgi</w:t>
      </w:r>
      <w:r w:rsidR="001A6C72">
        <w:rPr>
          <w:rFonts w:ascii="Century" w:hAnsi="Century"/>
          <w:sz w:val="24"/>
        </w:rPr>
        <w:t>si ve teze konu olan problem “</w:t>
      </w:r>
      <w:r>
        <w:rPr>
          <w:rFonts w:ascii="Century" w:hAnsi="Century"/>
          <w:sz w:val="24"/>
        </w:rPr>
        <w:t>1. Giriş” bölümünde verilmiş, yöntemler</w:t>
      </w:r>
      <w:r w:rsidR="001A6C72">
        <w:rPr>
          <w:rFonts w:ascii="Century" w:hAnsi="Century"/>
          <w:sz w:val="24"/>
        </w:rPr>
        <w:t>in metodolojik detayları ise “</w:t>
      </w:r>
      <w:r>
        <w:rPr>
          <w:rFonts w:ascii="Century" w:hAnsi="Century"/>
          <w:sz w:val="24"/>
        </w:rPr>
        <w:t>2. Genel Bilgiler” bölümünde bahsedilmiştir. Tezin deneysel bölümünde gerçekleşti</w:t>
      </w:r>
      <w:r w:rsidR="00D14A4D">
        <w:rPr>
          <w:rFonts w:ascii="Century" w:hAnsi="Century"/>
          <w:sz w:val="24"/>
        </w:rPr>
        <w:t>ri</w:t>
      </w:r>
      <w:r>
        <w:rPr>
          <w:rFonts w:ascii="Century" w:hAnsi="Century"/>
          <w:sz w:val="24"/>
        </w:rPr>
        <w:t xml:space="preserve">len analizler </w:t>
      </w:r>
      <w:r w:rsidR="00A91712">
        <w:rPr>
          <w:rFonts w:ascii="Century" w:hAnsi="Century"/>
          <w:sz w:val="24"/>
        </w:rPr>
        <w:t>ikiye</w:t>
      </w:r>
      <w:r>
        <w:rPr>
          <w:rFonts w:ascii="Century" w:hAnsi="Century"/>
          <w:sz w:val="24"/>
        </w:rPr>
        <w:t xml:space="preserve"> ayrılmıştır. </w:t>
      </w:r>
    </w:p>
    <w:p w:rsidR="00D21564" w:rsidRDefault="00D21564" w:rsidP="00D21564">
      <w:pPr>
        <w:spacing w:line="360" w:lineRule="auto"/>
        <w:ind w:firstLine="708"/>
        <w:jc w:val="both"/>
        <w:rPr>
          <w:rFonts w:ascii="Century" w:hAnsi="Century"/>
          <w:sz w:val="24"/>
        </w:rPr>
      </w:pPr>
      <w:r>
        <w:rPr>
          <w:rFonts w:ascii="Century" w:hAnsi="Century"/>
          <w:sz w:val="24"/>
        </w:rPr>
        <w:t>İlki, literatürde hali hazırda yayınlanan çalışmalardaki gerçek veriler kullanılarak regresyon yöntemleri ve güven aralığı yaklaşımları arasındaki uyumun a</w:t>
      </w:r>
      <w:r w:rsidRPr="00404FC8">
        <w:rPr>
          <w:rFonts w:ascii="Century" w:hAnsi="Century"/>
          <w:sz w:val="24"/>
        </w:rPr>
        <w:t>raştırılması</w:t>
      </w:r>
      <w:r>
        <w:rPr>
          <w:rFonts w:ascii="Century" w:hAnsi="Century"/>
          <w:sz w:val="24"/>
        </w:rPr>
        <w:t>dır. Bu bölümde yöntem karşılaştırması yapılmış ve regresyon analizi gerçekleştirilerek yayınlanmış bir çalışma için, “acaba farklı bir regresyon yöntemi ya da güven aralığı yaklaşımı kullanılsaydı farklı bir klinik sonuca mı ulaşılacaktı?” sorusu cevaplandırılacaktır. Özetle yayınlanmış gerçek verilerde regresyon yöntemlerinin ve güven aralığı yaklaşımlarının uyumu araştırılacaktır. Bu bölümde gerçekleştirilen analizlere ili</w:t>
      </w:r>
      <w:r w:rsidR="00C8035A">
        <w:rPr>
          <w:rFonts w:ascii="Century" w:hAnsi="Century"/>
          <w:sz w:val="24"/>
        </w:rPr>
        <w:t>şkin istatistiksel yöntemler “</w:t>
      </w:r>
      <w:r>
        <w:rPr>
          <w:rFonts w:ascii="Century" w:hAnsi="Century"/>
          <w:sz w:val="24"/>
        </w:rPr>
        <w:t>3. G</w:t>
      </w:r>
      <w:r w:rsidR="00C8035A">
        <w:rPr>
          <w:rFonts w:ascii="Century" w:hAnsi="Century"/>
          <w:sz w:val="24"/>
        </w:rPr>
        <w:t>ereç ve Yöntemler” bölümünün “</w:t>
      </w:r>
      <w:r>
        <w:rPr>
          <w:rFonts w:ascii="Century" w:hAnsi="Century"/>
          <w:sz w:val="24"/>
        </w:rPr>
        <w:t xml:space="preserve">3.1. </w:t>
      </w:r>
      <w:r w:rsidRPr="00F16FB7">
        <w:rPr>
          <w:rFonts w:ascii="Century" w:hAnsi="Century"/>
          <w:sz w:val="24"/>
        </w:rPr>
        <w:t>Regresyon Yöntemleri ve Güven Aralığı Yaklaşımları Arasındaki Uyumun Araştırılması</w:t>
      </w:r>
      <w:r>
        <w:rPr>
          <w:rFonts w:ascii="Century" w:hAnsi="Century"/>
          <w:sz w:val="24"/>
        </w:rPr>
        <w:t xml:space="preserve">” başlığı altında verilmiştir. </w:t>
      </w:r>
    </w:p>
    <w:p w:rsidR="00D21564" w:rsidRDefault="00D21564" w:rsidP="00D21564">
      <w:pPr>
        <w:spacing w:line="360" w:lineRule="auto"/>
        <w:ind w:firstLine="708"/>
        <w:jc w:val="both"/>
        <w:rPr>
          <w:rFonts w:ascii="Century" w:hAnsi="Century"/>
          <w:sz w:val="24"/>
        </w:rPr>
      </w:pPr>
      <w:r>
        <w:rPr>
          <w:rFonts w:ascii="Century" w:hAnsi="Century"/>
          <w:sz w:val="24"/>
        </w:rPr>
        <w:t>İkinci bölüm tezin asıl amacına konu olan benzetim çalışmasının gerçekleştirilmesi bölümüdür. Bu bölümde kapsamlı bir benzetim çalışması gerçekleştirilerek farklı senaryolarda regresyon yöntemlerinin ve güven aralığı yaklaşımlarının performansları değerlendirilecek ve birbirleriyle kıyaslanacaktır. Bu sayede, “belirli bir senaryo altında yöntem karşılaştırması çalışmalarının hangi regresyon yöntemi ve güven aralığı yaklaşımı kullanılarak analiz edilmesi gerekir?” sorusu cevaplandırılacaktır. Bu bölümde gerçekleştirilen analizlere ili</w:t>
      </w:r>
      <w:r w:rsidR="00C8035A">
        <w:rPr>
          <w:rFonts w:ascii="Century" w:hAnsi="Century"/>
          <w:sz w:val="24"/>
        </w:rPr>
        <w:t>şkin istatistiksel yöntemler “</w:t>
      </w:r>
      <w:r>
        <w:rPr>
          <w:rFonts w:ascii="Century" w:hAnsi="Century"/>
          <w:sz w:val="24"/>
        </w:rPr>
        <w:t>3. G</w:t>
      </w:r>
      <w:r w:rsidR="00C8035A">
        <w:rPr>
          <w:rFonts w:ascii="Century" w:hAnsi="Century"/>
          <w:sz w:val="24"/>
        </w:rPr>
        <w:t>ereç ve Yöntemler” bölümünün “</w:t>
      </w:r>
      <w:r>
        <w:rPr>
          <w:rFonts w:ascii="Century" w:hAnsi="Century"/>
          <w:sz w:val="24"/>
        </w:rPr>
        <w:t xml:space="preserve">3.2. </w:t>
      </w:r>
      <w:r w:rsidRPr="00A023B4">
        <w:rPr>
          <w:rFonts w:ascii="Century" w:hAnsi="Century"/>
          <w:sz w:val="24"/>
        </w:rPr>
        <w:t>Kapsamlı Bir Benzetim Çalışması ile Regresyon Yöntemleri ve Güven Aralığı Yaklaşımlarının Performansının Değerlendirilmesi</w:t>
      </w:r>
      <w:r>
        <w:rPr>
          <w:rFonts w:ascii="Century" w:hAnsi="Century"/>
          <w:sz w:val="24"/>
        </w:rPr>
        <w:t xml:space="preserve">” başlığı altında verilmiştir. </w:t>
      </w:r>
    </w:p>
    <w:p w:rsidR="00D21564" w:rsidRPr="00714581" w:rsidRDefault="00D21564" w:rsidP="00D21564">
      <w:pPr>
        <w:spacing w:line="360" w:lineRule="auto"/>
        <w:ind w:firstLine="708"/>
        <w:jc w:val="both"/>
        <w:rPr>
          <w:rFonts w:ascii="Century" w:hAnsi="Century"/>
          <w:sz w:val="24"/>
        </w:rPr>
      </w:pPr>
    </w:p>
    <w:p w:rsidR="00D21564" w:rsidRDefault="00D21564" w:rsidP="00D21564">
      <w:pPr>
        <w:spacing w:line="360" w:lineRule="auto"/>
        <w:jc w:val="both"/>
        <w:rPr>
          <w:rFonts w:ascii="Century" w:hAnsi="Century"/>
          <w:b/>
          <w:sz w:val="24"/>
        </w:rPr>
      </w:pPr>
      <w:r>
        <w:rPr>
          <w:rFonts w:ascii="Century" w:hAnsi="Century"/>
          <w:b/>
          <w:sz w:val="24"/>
        </w:rPr>
        <w:lastRenderedPageBreak/>
        <w:t>3.1. Regresyon Yöntemleri ve Güven Aralığı Yaklaşımları Arasındaki Uyumun Araştırılması</w:t>
      </w:r>
    </w:p>
    <w:p w:rsidR="00D21564" w:rsidRDefault="0008118A" w:rsidP="00D21564">
      <w:pPr>
        <w:spacing w:line="360" w:lineRule="auto"/>
        <w:jc w:val="both"/>
        <w:rPr>
          <w:rFonts w:ascii="Century" w:hAnsi="Century"/>
          <w:sz w:val="24"/>
          <w:szCs w:val="24"/>
        </w:rPr>
      </w:pPr>
      <w:r>
        <w:rPr>
          <w:rFonts w:ascii="Century" w:hAnsi="Century"/>
          <w:sz w:val="24"/>
        </w:rPr>
        <w:t xml:space="preserve">Bu çalışmada </w:t>
      </w:r>
      <w:r w:rsidR="006D4C09" w:rsidRPr="006D4C09">
        <w:rPr>
          <w:rFonts w:ascii="Century" w:hAnsi="Century"/>
          <w:sz w:val="24"/>
          <w:szCs w:val="24"/>
        </w:rPr>
        <w:t>7 çalışma ve 30 gerçek veri seti üzerinde uygulama yapılmıştır. Gerçek veri setinden çıkan sonuçlara göre benzetim düzeni hakkında planlama gerçekleşti</w:t>
      </w:r>
      <w:r w:rsidR="00F04682">
        <w:rPr>
          <w:rFonts w:ascii="Century" w:hAnsi="Century"/>
          <w:sz w:val="24"/>
          <w:szCs w:val="24"/>
        </w:rPr>
        <w:t>rilmiştir. Bu 30 veri literatür</w:t>
      </w:r>
      <w:r w:rsidR="006D4C09" w:rsidRPr="006D4C09">
        <w:rPr>
          <w:rFonts w:ascii="Century" w:hAnsi="Century"/>
          <w:sz w:val="24"/>
          <w:szCs w:val="24"/>
        </w:rPr>
        <w:t xml:space="preserve">de yayınlanmış gerçek çalışmalardan elde edilmiş ve her veride iki laboratuvar yönteminin karşılaştırılması amacıyla </w:t>
      </w:r>
      <w:r w:rsidR="00F04682">
        <w:rPr>
          <w:rFonts w:ascii="Century" w:hAnsi="Century"/>
          <w:sz w:val="24"/>
          <w:szCs w:val="24"/>
        </w:rPr>
        <w:t>3</w:t>
      </w:r>
      <w:r w:rsidR="006D4C09" w:rsidRPr="006D4C09">
        <w:rPr>
          <w:rFonts w:ascii="Century" w:hAnsi="Century"/>
          <w:sz w:val="24"/>
          <w:szCs w:val="24"/>
        </w:rPr>
        <w:t xml:space="preserve"> farklı regresyon yöntemi, 6 farklı güven aralığı yaklaşımı birlikte uygulanmıştır. Regresyon yöntemi olarak liter</w:t>
      </w:r>
      <w:r w:rsidR="00F04682">
        <w:rPr>
          <w:rFonts w:ascii="Century" w:hAnsi="Century"/>
          <w:sz w:val="24"/>
          <w:szCs w:val="24"/>
        </w:rPr>
        <w:t xml:space="preserve">atür de sıklıkla kullanılan EKK, </w:t>
      </w:r>
      <w:r w:rsidR="006D4C09" w:rsidRPr="006D4C09">
        <w:rPr>
          <w:rFonts w:ascii="Century" w:hAnsi="Century"/>
          <w:sz w:val="24"/>
          <w:szCs w:val="24"/>
        </w:rPr>
        <w:t>DR, ve PB regresyon yöntemleri kullanılmıştır. Güven aralıklarının tespitinde ise</w:t>
      </w:r>
      <w:r>
        <w:rPr>
          <w:rFonts w:ascii="Century" w:hAnsi="Century"/>
          <w:sz w:val="24"/>
          <w:szCs w:val="24"/>
        </w:rPr>
        <w:t xml:space="preserve"> analitik, jackknife, bootstrap yüzdelik, bootstrap student, bootstrap </w:t>
      </w:r>
      <w:r w:rsidR="006D4C09" w:rsidRPr="006D4C09">
        <w:rPr>
          <w:rFonts w:ascii="Century" w:hAnsi="Century"/>
          <w:sz w:val="24"/>
          <w:szCs w:val="24"/>
        </w:rPr>
        <w:t xml:space="preserve">Bca ve Bootstrap </w:t>
      </w:r>
      <w:r w:rsidR="006D4C09" w:rsidRPr="006D4C09">
        <w:rPr>
          <w:rFonts w:ascii="Century" w:hAnsi="Century"/>
          <w:i/>
          <w:sz w:val="24"/>
          <w:szCs w:val="24"/>
        </w:rPr>
        <w:t>t</w:t>
      </w:r>
      <w:r w:rsidR="006D4C09" w:rsidRPr="006D4C09">
        <w:rPr>
          <w:rFonts w:ascii="Century" w:hAnsi="Century"/>
          <w:sz w:val="24"/>
          <w:szCs w:val="24"/>
        </w:rPr>
        <w:t xml:space="preserve"> yöntemleri uygulanmıştır. Uygulamaların tümü hem sabit, hem de oransal hatanın varlığının tespitine yönelik ayrı ayrı gerçekleştirilmiştir. Bu uygulamalardaki temel amaç farklı regresyon yöntemlerinin ve güven aralığı yaklaşımlarının laboratuvar yöntemlerinin karşılaştırmasında birbirleri ile benzer sonuçlar verip vermediğinin araştırılmasıdır.</w:t>
      </w:r>
      <w:r w:rsidR="006D4C09">
        <w:rPr>
          <w:rFonts w:ascii="Century" w:hAnsi="Century"/>
          <w:sz w:val="24"/>
          <w:szCs w:val="24"/>
        </w:rPr>
        <w:t xml:space="preserve"> </w:t>
      </w:r>
    </w:p>
    <w:p w:rsidR="00E14DB8" w:rsidRDefault="00D21564" w:rsidP="0098015E">
      <w:pPr>
        <w:spacing w:line="360" w:lineRule="auto"/>
        <w:ind w:firstLine="708"/>
        <w:jc w:val="both"/>
        <w:rPr>
          <w:rFonts w:ascii="Century" w:hAnsi="Century"/>
          <w:sz w:val="24"/>
          <w:szCs w:val="24"/>
          <w:lang w:val="en-US"/>
        </w:rPr>
      </w:pPr>
      <w:r w:rsidRPr="005C6052">
        <w:rPr>
          <w:rFonts w:ascii="Century" w:hAnsi="Century"/>
          <w:sz w:val="24"/>
          <w:szCs w:val="24"/>
        </w:rPr>
        <w:t xml:space="preserve">İlk gerçek veri tonsil verisi olup, </w:t>
      </w:r>
      <w:r w:rsidR="000434D3">
        <w:rPr>
          <w:rFonts w:ascii="Century" w:hAnsi="Century"/>
          <w:sz w:val="24"/>
          <w:szCs w:val="24"/>
        </w:rPr>
        <w:t xml:space="preserve">(Sağıroğlu vd., </w:t>
      </w:r>
      <w:r w:rsidRPr="005C6052">
        <w:rPr>
          <w:rFonts w:ascii="Century" w:hAnsi="Century"/>
          <w:sz w:val="24"/>
          <w:szCs w:val="24"/>
          <w:lang w:val="en-US"/>
        </w:rPr>
        <w:t>2017</w:t>
      </w:r>
      <w:r w:rsidR="00FF2EBA">
        <w:rPr>
          <w:rFonts w:ascii="Century" w:hAnsi="Century"/>
          <w:sz w:val="24"/>
          <w:szCs w:val="24"/>
          <w:lang w:val="en-US"/>
        </w:rPr>
        <w:t>)</w:t>
      </w:r>
      <w:r w:rsidRPr="005C6052">
        <w:rPr>
          <w:rFonts w:ascii="Century" w:hAnsi="Century"/>
          <w:sz w:val="24"/>
          <w:szCs w:val="24"/>
          <w:lang w:val="en-US"/>
        </w:rPr>
        <w:t xml:space="preserve"> çalışma</w:t>
      </w:r>
      <w:r w:rsidR="00FF2EBA">
        <w:rPr>
          <w:rFonts w:ascii="Century" w:hAnsi="Century"/>
          <w:sz w:val="24"/>
          <w:szCs w:val="24"/>
          <w:lang w:val="en-US"/>
        </w:rPr>
        <w:t>sın</w:t>
      </w:r>
      <w:r w:rsidRPr="005C6052">
        <w:rPr>
          <w:rFonts w:ascii="Century" w:hAnsi="Century"/>
          <w:sz w:val="24"/>
          <w:szCs w:val="24"/>
          <w:lang w:val="en-US"/>
        </w:rPr>
        <w:t>da kullanılmıştır</w:t>
      </w:r>
      <w:r w:rsidRPr="005C6052">
        <w:rPr>
          <w:rFonts w:ascii="Century" w:hAnsi="Century"/>
          <w:sz w:val="24"/>
          <w:szCs w:val="24"/>
        </w:rPr>
        <w:t xml:space="preserve">. Çalışmanın amacı </w:t>
      </w:r>
      <w:r w:rsidRPr="005C6052">
        <w:rPr>
          <w:rFonts w:ascii="Century" w:hAnsi="Century"/>
          <w:sz w:val="24"/>
          <w:szCs w:val="24"/>
          <w:lang w:val="en-US"/>
        </w:rPr>
        <w:t xml:space="preserve">kronik tonsilit şikayeti ile gelen hastalara tonsilit teşhisini koymada yardımcı olan tonsil hacmini belirleme yöntemlerinin karşılaştırılmasıdır. Bu amaçla çalışmaya 30 çocuk, 6 yetişkin olmak üzere 36 kişi dahil edilmiştir. Çalışmaya dahil edilen bireylerin sağ ve sol tonsillerinin hacimlerini hesaplamak üzere Arşimet, Cavalieri ve </w:t>
      </w:r>
      <w:r w:rsidR="000B7C59">
        <w:rPr>
          <w:rFonts w:ascii="Century" w:hAnsi="Century"/>
          <w:sz w:val="24"/>
          <w:szCs w:val="24"/>
          <w:lang w:val="en-US"/>
        </w:rPr>
        <w:t>e</w:t>
      </w:r>
      <w:r w:rsidRPr="005C6052">
        <w:rPr>
          <w:rFonts w:ascii="Century" w:hAnsi="Century"/>
          <w:sz w:val="24"/>
          <w:szCs w:val="24"/>
          <w:lang w:val="en-US"/>
        </w:rPr>
        <w:t xml:space="preserve">lipsoit yöntemleri kullanılmış ve yöntemler arasındaki uyumu belirlemek amacıyla Pearson korelasyon katsayısı, sınıf içi korelasyon katsayısı ve konkordans korelasyon katsayısı hesaplanmıştır. </w:t>
      </w:r>
      <w:r w:rsidR="005B5234" w:rsidRPr="005C6052">
        <w:rPr>
          <w:rFonts w:ascii="Century" w:hAnsi="Century"/>
          <w:sz w:val="24"/>
          <w:szCs w:val="24"/>
          <w:lang w:val="en-US"/>
        </w:rPr>
        <w:t>Arşimet ve Cavalieri hacim hesaplama</w:t>
      </w:r>
      <w:r w:rsidR="005B5234">
        <w:rPr>
          <w:rFonts w:ascii="Century" w:hAnsi="Century"/>
          <w:sz w:val="24"/>
          <w:szCs w:val="24"/>
          <w:lang w:val="en-US"/>
        </w:rPr>
        <w:t xml:space="preserve"> yöntemlerinin karşılaştırmasında kullanılan veriler sağ tonsil için “tonsil-1”, sol tonsil için ise “tonsil-2” olarak</w:t>
      </w:r>
      <w:r w:rsidR="00791F5E">
        <w:rPr>
          <w:rFonts w:ascii="Century" w:hAnsi="Century"/>
          <w:sz w:val="24"/>
          <w:szCs w:val="24"/>
          <w:lang w:val="en-US"/>
        </w:rPr>
        <w:t xml:space="preserve">; </w:t>
      </w:r>
      <w:r w:rsidR="00791F5E" w:rsidRPr="005C6052">
        <w:rPr>
          <w:rFonts w:ascii="Century" w:hAnsi="Century"/>
          <w:sz w:val="24"/>
          <w:szCs w:val="24"/>
          <w:lang w:val="en-US"/>
        </w:rPr>
        <w:t xml:space="preserve">Arşimet ve </w:t>
      </w:r>
      <w:r w:rsidR="00791F5E">
        <w:rPr>
          <w:rFonts w:ascii="Century" w:hAnsi="Century"/>
          <w:sz w:val="24"/>
          <w:szCs w:val="24"/>
          <w:lang w:val="en-US"/>
        </w:rPr>
        <w:t>elipsoi</w:t>
      </w:r>
      <w:r w:rsidR="000B7C59">
        <w:rPr>
          <w:rFonts w:ascii="Century" w:hAnsi="Century"/>
          <w:sz w:val="24"/>
          <w:szCs w:val="24"/>
          <w:lang w:val="en-US"/>
        </w:rPr>
        <w:t>t</w:t>
      </w:r>
      <w:r w:rsidR="00791F5E" w:rsidRPr="005C6052">
        <w:rPr>
          <w:rFonts w:ascii="Century" w:hAnsi="Century"/>
          <w:sz w:val="24"/>
          <w:szCs w:val="24"/>
          <w:lang w:val="en-US"/>
        </w:rPr>
        <w:t xml:space="preserve"> hacim hesaplama</w:t>
      </w:r>
      <w:r w:rsidR="00791F5E">
        <w:rPr>
          <w:rFonts w:ascii="Century" w:hAnsi="Century"/>
          <w:sz w:val="24"/>
          <w:szCs w:val="24"/>
          <w:lang w:val="en-US"/>
        </w:rPr>
        <w:t xml:space="preserve"> yöntemlerinin karşılaştırmasında kullanılan veriler sağ tonsil için “tonsil-</w:t>
      </w:r>
      <w:r w:rsidR="00E770F7">
        <w:rPr>
          <w:rFonts w:ascii="Century" w:hAnsi="Century"/>
          <w:sz w:val="24"/>
          <w:szCs w:val="24"/>
          <w:lang w:val="en-US"/>
        </w:rPr>
        <w:t>3</w:t>
      </w:r>
      <w:r w:rsidR="00791F5E">
        <w:rPr>
          <w:rFonts w:ascii="Century" w:hAnsi="Century"/>
          <w:sz w:val="24"/>
          <w:szCs w:val="24"/>
          <w:lang w:val="en-US"/>
        </w:rPr>
        <w:t>”, sol tonsil için ise “tonsil-</w:t>
      </w:r>
      <w:r w:rsidR="00E770F7">
        <w:rPr>
          <w:rFonts w:ascii="Century" w:hAnsi="Century"/>
          <w:sz w:val="24"/>
          <w:szCs w:val="24"/>
          <w:lang w:val="en-US"/>
        </w:rPr>
        <w:t>4</w:t>
      </w:r>
      <w:r w:rsidR="00791F5E">
        <w:rPr>
          <w:rFonts w:ascii="Century" w:hAnsi="Century"/>
          <w:sz w:val="24"/>
          <w:szCs w:val="24"/>
          <w:lang w:val="en-US"/>
        </w:rPr>
        <w:t>” olarak</w:t>
      </w:r>
      <w:r w:rsidR="00E770F7">
        <w:rPr>
          <w:rFonts w:ascii="Century" w:hAnsi="Century"/>
          <w:sz w:val="24"/>
          <w:szCs w:val="24"/>
          <w:lang w:val="en-US"/>
        </w:rPr>
        <w:t>; Cavalieri</w:t>
      </w:r>
      <w:r w:rsidR="00E770F7" w:rsidRPr="005C6052">
        <w:rPr>
          <w:rFonts w:ascii="Century" w:hAnsi="Century"/>
          <w:sz w:val="24"/>
          <w:szCs w:val="24"/>
          <w:lang w:val="en-US"/>
        </w:rPr>
        <w:t xml:space="preserve"> ve </w:t>
      </w:r>
      <w:r w:rsidR="00E770F7">
        <w:rPr>
          <w:rFonts w:ascii="Century" w:hAnsi="Century"/>
          <w:sz w:val="24"/>
          <w:szCs w:val="24"/>
          <w:lang w:val="en-US"/>
        </w:rPr>
        <w:t>elipsoi</w:t>
      </w:r>
      <w:r w:rsidR="000B7C59">
        <w:rPr>
          <w:rFonts w:ascii="Century" w:hAnsi="Century"/>
          <w:sz w:val="24"/>
          <w:szCs w:val="24"/>
          <w:lang w:val="en-US"/>
        </w:rPr>
        <w:t>t</w:t>
      </w:r>
      <w:r w:rsidR="00E770F7" w:rsidRPr="005C6052">
        <w:rPr>
          <w:rFonts w:ascii="Century" w:hAnsi="Century"/>
          <w:sz w:val="24"/>
          <w:szCs w:val="24"/>
          <w:lang w:val="en-US"/>
        </w:rPr>
        <w:t xml:space="preserve"> hacim hesaplama</w:t>
      </w:r>
      <w:r w:rsidR="00E770F7">
        <w:rPr>
          <w:rFonts w:ascii="Century" w:hAnsi="Century"/>
          <w:sz w:val="24"/>
          <w:szCs w:val="24"/>
          <w:lang w:val="en-US"/>
        </w:rPr>
        <w:t xml:space="preserve"> yöntemlerinin karşılaştırmasında kullanılan veriler</w:t>
      </w:r>
      <w:r w:rsidR="00E770F7" w:rsidRPr="00E770F7">
        <w:rPr>
          <w:rFonts w:ascii="Century" w:hAnsi="Century"/>
          <w:sz w:val="24"/>
          <w:szCs w:val="24"/>
          <w:lang w:val="en-US"/>
        </w:rPr>
        <w:t xml:space="preserve"> </w:t>
      </w:r>
      <w:r w:rsidR="00E770F7">
        <w:rPr>
          <w:rFonts w:ascii="Century" w:hAnsi="Century"/>
          <w:sz w:val="24"/>
          <w:szCs w:val="24"/>
          <w:lang w:val="en-US"/>
        </w:rPr>
        <w:t xml:space="preserve">sağ tonsil için “tonsil-5”, sol tonsil için ise “tonsil-6” olarak </w:t>
      </w:r>
      <w:r w:rsidR="00791F5E">
        <w:rPr>
          <w:rFonts w:ascii="Century" w:hAnsi="Century"/>
          <w:sz w:val="24"/>
          <w:szCs w:val="24"/>
          <w:lang w:val="en-US"/>
        </w:rPr>
        <w:t>adlandırılmıştır.</w:t>
      </w:r>
    </w:p>
    <w:p w:rsidR="0028303B" w:rsidRDefault="0028303B" w:rsidP="0098015E">
      <w:pPr>
        <w:spacing w:line="360" w:lineRule="auto"/>
        <w:ind w:firstLine="708"/>
        <w:jc w:val="both"/>
        <w:rPr>
          <w:rFonts w:ascii="Century" w:hAnsi="Century"/>
          <w:sz w:val="24"/>
          <w:szCs w:val="24"/>
        </w:rPr>
      </w:pPr>
      <w:r w:rsidRPr="0028303B">
        <w:rPr>
          <w:rFonts w:ascii="Century" w:hAnsi="Century"/>
          <w:sz w:val="24"/>
          <w:szCs w:val="24"/>
        </w:rPr>
        <w:lastRenderedPageBreak/>
        <w:t xml:space="preserve">Diğer gerçek veri sitokin verisi olup, </w:t>
      </w:r>
      <w:r w:rsidR="00827656">
        <w:rPr>
          <w:rFonts w:ascii="Century" w:hAnsi="Century"/>
          <w:sz w:val="24"/>
          <w:szCs w:val="24"/>
          <w:lang w:val="en-US"/>
        </w:rPr>
        <w:t xml:space="preserve">(Çetin vd., 2018) </w:t>
      </w:r>
      <w:r w:rsidRPr="0028303B">
        <w:rPr>
          <w:rFonts w:ascii="Century" w:hAnsi="Century"/>
          <w:sz w:val="24"/>
          <w:szCs w:val="24"/>
          <w:lang w:val="en-US"/>
        </w:rPr>
        <w:t>çalışma</w:t>
      </w:r>
      <w:r w:rsidR="00827656">
        <w:rPr>
          <w:rFonts w:ascii="Century" w:hAnsi="Century"/>
          <w:sz w:val="24"/>
          <w:szCs w:val="24"/>
          <w:lang w:val="en-US"/>
        </w:rPr>
        <w:t>sın</w:t>
      </w:r>
      <w:r w:rsidRPr="0028303B">
        <w:rPr>
          <w:rFonts w:ascii="Century" w:hAnsi="Century"/>
          <w:sz w:val="24"/>
          <w:szCs w:val="24"/>
          <w:lang w:val="en-US"/>
        </w:rPr>
        <w:t>da kullanılmıştır</w:t>
      </w:r>
      <w:r w:rsidRPr="0028303B">
        <w:rPr>
          <w:rFonts w:ascii="Century" w:hAnsi="Century"/>
          <w:sz w:val="24"/>
          <w:szCs w:val="24"/>
        </w:rPr>
        <w:t>.</w:t>
      </w:r>
      <w:r w:rsidR="00827656">
        <w:rPr>
          <w:rFonts w:ascii="Century" w:hAnsi="Century"/>
          <w:sz w:val="24"/>
          <w:szCs w:val="24"/>
        </w:rPr>
        <w:t xml:space="preserve"> </w:t>
      </w:r>
      <w:r w:rsidRPr="0028303B">
        <w:rPr>
          <w:rFonts w:ascii="Century" w:hAnsi="Century"/>
          <w:sz w:val="24"/>
          <w:szCs w:val="24"/>
        </w:rPr>
        <w:t>Çalışmanın amacı</w:t>
      </w:r>
      <w:r w:rsidRPr="0028303B">
        <w:rPr>
          <w:rFonts w:ascii="Century" w:hAnsi="Century"/>
          <w:sz w:val="24"/>
          <w:szCs w:val="24"/>
          <w:lang w:val="en-US"/>
        </w:rPr>
        <w:t xml:space="preserve"> hiperkolestrolomi tanısı konan 50 hasta ve 30 sağlıklı bireyde serum sitokin düzeylerini belirlemede laboratuvar yöntemleri olarak kullanılan referans test ölçümü ELISA (Enzime bağlı immüno serbest testi) testi yerine akım sitometrisi yönteminin kullanılabilirliğini test etmektir.</w:t>
      </w:r>
      <w:r w:rsidRPr="0028303B">
        <w:rPr>
          <w:rFonts w:ascii="Century" w:hAnsi="Century"/>
          <w:sz w:val="24"/>
          <w:szCs w:val="24"/>
        </w:rPr>
        <w:t xml:space="preserve"> </w:t>
      </w:r>
      <w:r w:rsidR="003234A3">
        <w:rPr>
          <w:rFonts w:ascii="Century" w:hAnsi="Century"/>
          <w:sz w:val="24"/>
          <w:szCs w:val="24"/>
        </w:rPr>
        <w:t>Sağlıklı bireylerde</w:t>
      </w:r>
      <w:r w:rsidR="003234A3" w:rsidRPr="003234A3">
        <w:rPr>
          <w:rFonts w:ascii="Century" w:hAnsi="Century"/>
          <w:sz w:val="24"/>
          <w:szCs w:val="24"/>
        </w:rPr>
        <w:t xml:space="preserve"> ELISA ve ak</w:t>
      </w:r>
      <w:r w:rsidR="003234A3" w:rsidRPr="003234A3">
        <w:rPr>
          <w:rFonts w:ascii="Century" w:hAnsi="Century" w:cs="Century"/>
          <w:sz w:val="24"/>
          <w:szCs w:val="24"/>
        </w:rPr>
        <w:t>ı</w:t>
      </w:r>
      <w:r w:rsidR="003234A3" w:rsidRPr="003234A3">
        <w:rPr>
          <w:rFonts w:ascii="Century" w:hAnsi="Century"/>
          <w:sz w:val="24"/>
          <w:szCs w:val="24"/>
        </w:rPr>
        <w:t xml:space="preserve">m sitometrisi </w:t>
      </w:r>
      <w:r w:rsidR="003234A3">
        <w:rPr>
          <w:rFonts w:ascii="Century" w:hAnsi="Century"/>
          <w:sz w:val="24"/>
          <w:szCs w:val="24"/>
        </w:rPr>
        <w:t>yöntemlerinin karşılaştırılmasında kullanılan veriler</w:t>
      </w:r>
      <w:r w:rsidR="003234A3" w:rsidRPr="003234A3">
        <w:rPr>
          <w:rFonts w:ascii="Century" w:hAnsi="Century"/>
          <w:sz w:val="24"/>
          <w:szCs w:val="24"/>
        </w:rPr>
        <w:t xml:space="preserve"> </w:t>
      </w:r>
      <w:r w:rsidR="003234A3">
        <w:rPr>
          <w:rFonts w:ascii="Century" w:hAnsi="Century"/>
          <w:sz w:val="24"/>
          <w:szCs w:val="24"/>
        </w:rPr>
        <w:t>IL-6 düzeyleri için “sitokin-1”, TNF-α düzeyleri için “sitokin-2”, IL-1β düzeyleri için ise “sitokin-3” olarak; hasta bireylerde</w:t>
      </w:r>
      <w:r w:rsidR="003234A3" w:rsidRPr="003234A3">
        <w:rPr>
          <w:rFonts w:ascii="Century" w:hAnsi="Century"/>
          <w:sz w:val="24"/>
          <w:szCs w:val="24"/>
        </w:rPr>
        <w:t xml:space="preserve"> ELISA ve ak</w:t>
      </w:r>
      <w:r w:rsidR="003234A3" w:rsidRPr="003234A3">
        <w:rPr>
          <w:rFonts w:ascii="Century" w:hAnsi="Century" w:cs="Century"/>
          <w:sz w:val="24"/>
          <w:szCs w:val="24"/>
        </w:rPr>
        <w:t>ı</w:t>
      </w:r>
      <w:r w:rsidR="003234A3" w:rsidRPr="003234A3">
        <w:rPr>
          <w:rFonts w:ascii="Century" w:hAnsi="Century"/>
          <w:sz w:val="24"/>
          <w:szCs w:val="24"/>
        </w:rPr>
        <w:t xml:space="preserve">m sitometrisi </w:t>
      </w:r>
      <w:r w:rsidR="003234A3">
        <w:rPr>
          <w:rFonts w:ascii="Century" w:hAnsi="Century"/>
          <w:sz w:val="24"/>
          <w:szCs w:val="24"/>
        </w:rPr>
        <w:t>yöntemlerinin karşılaştırılmasında kullanılan veriler</w:t>
      </w:r>
      <w:r w:rsidR="003234A3" w:rsidRPr="003234A3">
        <w:rPr>
          <w:rFonts w:ascii="Century" w:hAnsi="Century"/>
          <w:sz w:val="24"/>
          <w:szCs w:val="24"/>
        </w:rPr>
        <w:t xml:space="preserve"> </w:t>
      </w:r>
      <w:r w:rsidR="003234A3">
        <w:rPr>
          <w:rFonts w:ascii="Century" w:hAnsi="Century"/>
          <w:sz w:val="24"/>
          <w:szCs w:val="24"/>
        </w:rPr>
        <w:t>IL-6 düzeyleri için “sitokin-4”, TNF-α düzeyleri için “sitokin-5”, IL-1β düzeyleri için ise “sitokin-6” olarak adlandırılmıştır.</w:t>
      </w:r>
    </w:p>
    <w:p w:rsidR="000159F8" w:rsidRDefault="000159F8" w:rsidP="0098015E">
      <w:pPr>
        <w:spacing w:line="360" w:lineRule="auto"/>
        <w:ind w:firstLine="708"/>
        <w:jc w:val="both"/>
        <w:rPr>
          <w:rFonts w:ascii="Century" w:hAnsi="Century"/>
          <w:sz w:val="24"/>
          <w:szCs w:val="24"/>
        </w:rPr>
      </w:pPr>
      <w:r w:rsidRPr="000159F8">
        <w:rPr>
          <w:rFonts w:ascii="Century" w:hAnsi="Century"/>
          <w:sz w:val="24"/>
          <w:szCs w:val="24"/>
        </w:rPr>
        <w:t xml:space="preserve">Diğer gerçek veri NRBC verisi olup, </w:t>
      </w:r>
      <w:r w:rsidR="004425C5">
        <w:rPr>
          <w:rFonts w:ascii="Century" w:hAnsi="Century"/>
          <w:sz w:val="24"/>
          <w:szCs w:val="24"/>
        </w:rPr>
        <w:t>(</w:t>
      </w:r>
      <w:r w:rsidRPr="000159F8">
        <w:rPr>
          <w:rFonts w:ascii="Century" w:hAnsi="Century"/>
          <w:sz w:val="24"/>
          <w:szCs w:val="24"/>
          <w:lang w:val="en-US"/>
        </w:rPr>
        <w:t xml:space="preserve">Karakükçü </w:t>
      </w:r>
      <w:r w:rsidR="004425C5">
        <w:rPr>
          <w:rFonts w:ascii="Century" w:hAnsi="Century"/>
          <w:sz w:val="24"/>
          <w:szCs w:val="24"/>
          <w:lang w:val="en-US"/>
        </w:rPr>
        <w:t>vd.,</w:t>
      </w:r>
      <w:r w:rsidRPr="000159F8">
        <w:rPr>
          <w:rFonts w:ascii="Century" w:hAnsi="Century"/>
          <w:sz w:val="24"/>
          <w:szCs w:val="24"/>
          <w:lang w:val="en-US"/>
        </w:rPr>
        <w:t xml:space="preserve"> 2015</w:t>
      </w:r>
      <w:r w:rsidR="004425C5">
        <w:rPr>
          <w:rFonts w:ascii="Century" w:hAnsi="Century"/>
          <w:sz w:val="24"/>
          <w:szCs w:val="24"/>
          <w:lang w:val="en-US"/>
        </w:rPr>
        <w:t>)</w:t>
      </w:r>
      <w:r w:rsidRPr="000159F8">
        <w:rPr>
          <w:rFonts w:ascii="Century" w:hAnsi="Century"/>
          <w:sz w:val="24"/>
          <w:szCs w:val="24"/>
          <w:lang w:val="en-US"/>
        </w:rPr>
        <w:t xml:space="preserve"> çalışma</w:t>
      </w:r>
      <w:r w:rsidR="004425C5">
        <w:rPr>
          <w:rFonts w:ascii="Century" w:hAnsi="Century"/>
          <w:sz w:val="24"/>
          <w:szCs w:val="24"/>
          <w:lang w:val="en-US"/>
        </w:rPr>
        <w:t>sın</w:t>
      </w:r>
      <w:r w:rsidRPr="000159F8">
        <w:rPr>
          <w:rFonts w:ascii="Century" w:hAnsi="Century"/>
          <w:sz w:val="24"/>
          <w:szCs w:val="24"/>
          <w:lang w:val="en-US"/>
        </w:rPr>
        <w:t>da kullanılmıştır</w:t>
      </w:r>
      <w:r w:rsidRPr="000159F8">
        <w:rPr>
          <w:rFonts w:ascii="Century" w:hAnsi="Century"/>
          <w:sz w:val="24"/>
          <w:szCs w:val="24"/>
        </w:rPr>
        <w:t xml:space="preserve">. </w:t>
      </w:r>
      <w:r w:rsidR="004425C5">
        <w:rPr>
          <w:rFonts w:ascii="Century" w:hAnsi="Century"/>
          <w:sz w:val="24"/>
          <w:szCs w:val="24"/>
        </w:rPr>
        <w:t xml:space="preserve">Veriler </w:t>
      </w:r>
      <w:r w:rsidRPr="000159F8">
        <w:rPr>
          <w:rFonts w:ascii="Century" w:hAnsi="Century"/>
          <w:sz w:val="24"/>
          <w:szCs w:val="24"/>
          <w:lang w:val="en-US"/>
        </w:rPr>
        <w:t xml:space="preserve">Erciyes Üniversitesi Pediatri Hemotoloji </w:t>
      </w:r>
      <w:r w:rsidR="004425C5">
        <w:rPr>
          <w:rFonts w:ascii="Century" w:hAnsi="Century"/>
          <w:sz w:val="24"/>
          <w:szCs w:val="24"/>
          <w:lang w:val="en-US"/>
        </w:rPr>
        <w:t>birimine başvuran</w:t>
      </w:r>
      <w:r w:rsidRPr="000159F8">
        <w:rPr>
          <w:rFonts w:ascii="Century" w:hAnsi="Century"/>
          <w:sz w:val="24"/>
          <w:szCs w:val="24"/>
          <w:lang w:val="en-US"/>
        </w:rPr>
        <w:t xml:space="preserve"> 21 erkek 30 kadın hastada</w:t>
      </w:r>
      <w:r w:rsidR="004425C5">
        <w:rPr>
          <w:rFonts w:ascii="Century" w:hAnsi="Century"/>
          <w:sz w:val="24"/>
          <w:szCs w:val="24"/>
          <w:lang w:val="en-US"/>
        </w:rPr>
        <w:t>n elde edilmiştir</w:t>
      </w:r>
      <w:r w:rsidRPr="000159F8">
        <w:rPr>
          <w:rFonts w:ascii="Century" w:hAnsi="Century"/>
          <w:sz w:val="24"/>
          <w:szCs w:val="24"/>
        </w:rPr>
        <w:t xml:space="preserve">. Çalışmanın amacı kan hücrelerindeki biyokimyasal ölçümlerin hematolojik testlerle değerlendirilmesinde kullanılan yöntemlerin karşılaştırılması üzerine kurulmuştur. Kan hücrelerindeki CBC ve WBC miktarları ile otomatik hesaplanan NRBC (Nucleated red blood cells)  miktarı simir testinde kullanılmaktadır. Referans test olarak alınan NRBC miktarı yerine XE-2100 laboratuvar yöntemi ve Advia-2120i laboratuvar yönteminin kullanılıp kullanılamayacağı yöntem karşılaştırılması çalışmaları ile test edilmek istenmiştir. </w:t>
      </w:r>
      <w:r w:rsidR="00EB45BD">
        <w:rPr>
          <w:rFonts w:ascii="Century" w:hAnsi="Century"/>
          <w:sz w:val="24"/>
          <w:szCs w:val="24"/>
        </w:rPr>
        <w:t xml:space="preserve">Hastalarda </w:t>
      </w:r>
      <w:r w:rsidR="00EB45BD" w:rsidRPr="00EB45BD">
        <w:rPr>
          <w:rFonts w:ascii="Century" w:hAnsi="Century"/>
          <w:sz w:val="24"/>
          <w:szCs w:val="24"/>
        </w:rPr>
        <w:t xml:space="preserve">NRBC ve XE2100 </w:t>
      </w:r>
      <w:r w:rsidR="00EB45BD" w:rsidRPr="00EB45BD">
        <w:rPr>
          <w:rFonts w:ascii="Century" w:hAnsi="Century"/>
          <w:sz w:val="24"/>
          <w:szCs w:val="24"/>
          <w:lang w:val="en-US"/>
        </w:rPr>
        <w:t>yöntemlerinin karşılaştırmasında</w:t>
      </w:r>
      <w:r w:rsidR="00EB45BD">
        <w:rPr>
          <w:rFonts w:ascii="Century" w:hAnsi="Century"/>
          <w:sz w:val="24"/>
          <w:szCs w:val="24"/>
          <w:lang w:val="en-US"/>
        </w:rPr>
        <w:t xml:space="preserve"> kullanılan veriler “</w:t>
      </w:r>
      <w:r w:rsidR="00EB45BD" w:rsidRPr="00EB45BD">
        <w:rPr>
          <w:rFonts w:ascii="Century" w:hAnsi="Century"/>
          <w:sz w:val="24"/>
          <w:szCs w:val="24"/>
        </w:rPr>
        <w:t>NRBC</w:t>
      </w:r>
      <w:r w:rsidR="00EB45BD">
        <w:rPr>
          <w:rFonts w:ascii="Century" w:hAnsi="Century"/>
          <w:sz w:val="24"/>
          <w:szCs w:val="24"/>
        </w:rPr>
        <w:t xml:space="preserve">-1” olarak; </w:t>
      </w:r>
      <w:r w:rsidR="00EB45BD" w:rsidRPr="00EB45BD">
        <w:rPr>
          <w:rFonts w:ascii="Century" w:hAnsi="Century"/>
          <w:sz w:val="24"/>
          <w:szCs w:val="24"/>
        </w:rPr>
        <w:t xml:space="preserve">NRBC ve </w:t>
      </w:r>
      <w:r w:rsidR="00EB45BD" w:rsidRPr="000159F8">
        <w:rPr>
          <w:rFonts w:ascii="Century" w:hAnsi="Century"/>
          <w:sz w:val="24"/>
          <w:szCs w:val="24"/>
        </w:rPr>
        <w:t>Advia-2120i</w:t>
      </w:r>
      <w:r w:rsidR="00EB45BD" w:rsidRPr="00EB45BD">
        <w:rPr>
          <w:rFonts w:ascii="Century" w:hAnsi="Century"/>
          <w:sz w:val="24"/>
          <w:szCs w:val="24"/>
          <w:lang w:val="en-US"/>
        </w:rPr>
        <w:t xml:space="preserve"> yöntemlerinin karşılaştırmasında</w:t>
      </w:r>
      <w:r w:rsidR="00EB45BD">
        <w:rPr>
          <w:rFonts w:ascii="Century" w:hAnsi="Century"/>
          <w:sz w:val="24"/>
          <w:szCs w:val="24"/>
          <w:lang w:val="en-US"/>
        </w:rPr>
        <w:t xml:space="preserve"> kullanılan veriler ise “</w:t>
      </w:r>
      <w:r w:rsidR="00EB45BD" w:rsidRPr="00EB45BD">
        <w:rPr>
          <w:rFonts w:ascii="Century" w:hAnsi="Century"/>
          <w:sz w:val="24"/>
          <w:szCs w:val="24"/>
        </w:rPr>
        <w:t>NRBC</w:t>
      </w:r>
      <w:r w:rsidR="00EB45BD">
        <w:rPr>
          <w:rFonts w:ascii="Century" w:hAnsi="Century"/>
          <w:sz w:val="24"/>
          <w:szCs w:val="24"/>
        </w:rPr>
        <w:t>-2” olarak adlandırılmıştır.</w:t>
      </w:r>
    </w:p>
    <w:p w:rsidR="00EB45BD" w:rsidRPr="00CA2DE1" w:rsidRDefault="00EB45BD" w:rsidP="000159F8">
      <w:pPr>
        <w:spacing w:line="360" w:lineRule="auto"/>
        <w:jc w:val="both"/>
        <w:rPr>
          <w:rFonts w:ascii="Century" w:hAnsi="Century"/>
          <w:sz w:val="24"/>
          <w:szCs w:val="24"/>
          <w:lang w:val="en-US"/>
        </w:rPr>
      </w:pPr>
    </w:p>
    <w:p w:rsidR="00D153FE" w:rsidRPr="00CA2DE1" w:rsidRDefault="00D153FE" w:rsidP="00CA2DE1">
      <w:pPr>
        <w:spacing w:line="360" w:lineRule="auto"/>
        <w:jc w:val="both"/>
        <w:rPr>
          <w:rFonts w:ascii="Century" w:hAnsi="Century"/>
          <w:sz w:val="24"/>
          <w:szCs w:val="24"/>
          <w:lang w:val="en-US"/>
        </w:rPr>
      </w:pPr>
    </w:p>
    <w:p w:rsidR="005476EA" w:rsidRDefault="00791C2A" w:rsidP="0098015E">
      <w:pPr>
        <w:spacing w:line="360" w:lineRule="auto"/>
        <w:ind w:firstLine="708"/>
        <w:jc w:val="both"/>
        <w:rPr>
          <w:rFonts w:ascii="Century" w:hAnsi="Century"/>
          <w:sz w:val="24"/>
          <w:szCs w:val="24"/>
          <w:lang w:val="en-US"/>
        </w:rPr>
      </w:pPr>
      <w:r>
        <w:rPr>
          <w:rFonts w:ascii="Century" w:hAnsi="Century"/>
          <w:sz w:val="24"/>
          <w:szCs w:val="24"/>
        </w:rPr>
        <w:t>Diğer gerçek veri Magari</w:t>
      </w:r>
      <w:r w:rsidR="00AB22AF">
        <w:rPr>
          <w:rFonts w:ascii="Century" w:hAnsi="Century"/>
          <w:sz w:val="24"/>
          <w:szCs w:val="24"/>
        </w:rPr>
        <w:t>-</w:t>
      </w:r>
      <w:r w:rsidR="00671217">
        <w:rPr>
          <w:rFonts w:ascii="Century" w:hAnsi="Century"/>
          <w:sz w:val="24"/>
          <w:szCs w:val="24"/>
        </w:rPr>
        <w:t>uygulama</w:t>
      </w:r>
      <w:r w:rsidR="000159F8" w:rsidRPr="00CA2DE1">
        <w:rPr>
          <w:rFonts w:ascii="Century" w:hAnsi="Century"/>
          <w:sz w:val="24"/>
          <w:szCs w:val="24"/>
        </w:rPr>
        <w:t xml:space="preserve"> verisi olup, </w:t>
      </w:r>
      <w:r>
        <w:rPr>
          <w:rFonts w:ascii="Century" w:hAnsi="Century"/>
          <w:sz w:val="24"/>
          <w:szCs w:val="24"/>
        </w:rPr>
        <w:t>(</w:t>
      </w:r>
      <w:r w:rsidR="000159F8" w:rsidRPr="00CA2DE1">
        <w:rPr>
          <w:rFonts w:ascii="Century" w:hAnsi="Century"/>
          <w:sz w:val="24"/>
          <w:szCs w:val="24"/>
        </w:rPr>
        <w:t>Magari</w:t>
      </w:r>
      <w:r>
        <w:rPr>
          <w:rFonts w:ascii="Century" w:hAnsi="Century"/>
          <w:sz w:val="24"/>
          <w:szCs w:val="24"/>
        </w:rPr>
        <w:t xml:space="preserve"> vd., 2012)</w:t>
      </w:r>
      <w:r w:rsidR="000159F8" w:rsidRPr="00CA2DE1">
        <w:rPr>
          <w:rFonts w:ascii="Century" w:hAnsi="Century"/>
          <w:sz w:val="24"/>
          <w:szCs w:val="24"/>
        </w:rPr>
        <w:t xml:space="preserve"> </w:t>
      </w:r>
      <w:r w:rsidR="000159F8" w:rsidRPr="00CA2DE1">
        <w:rPr>
          <w:rFonts w:ascii="Century" w:hAnsi="Century"/>
          <w:sz w:val="24"/>
          <w:szCs w:val="24"/>
          <w:lang w:val="en-US"/>
        </w:rPr>
        <w:t>çalışma</w:t>
      </w:r>
      <w:r>
        <w:rPr>
          <w:rFonts w:ascii="Century" w:hAnsi="Century"/>
          <w:sz w:val="24"/>
          <w:szCs w:val="24"/>
          <w:lang w:val="en-US"/>
        </w:rPr>
        <w:t>sın</w:t>
      </w:r>
      <w:r w:rsidR="000159F8" w:rsidRPr="00CA2DE1">
        <w:rPr>
          <w:rFonts w:ascii="Century" w:hAnsi="Century"/>
          <w:sz w:val="24"/>
          <w:szCs w:val="24"/>
          <w:lang w:val="en-US"/>
        </w:rPr>
        <w:t>da kullanılmıştır</w:t>
      </w:r>
      <w:r w:rsidR="000159F8" w:rsidRPr="00CA2DE1">
        <w:rPr>
          <w:rFonts w:ascii="Century" w:hAnsi="Century"/>
          <w:sz w:val="24"/>
          <w:szCs w:val="24"/>
        </w:rPr>
        <w:t xml:space="preserve">. </w:t>
      </w:r>
      <w:r w:rsidR="000159F8" w:rsidRPr="00CA2DE1">
        <w:rPr>
          <w:rFonts w:ascii="Century" w:hAnsi="Century"/>
          <w:sz w:val="24"/>
          <w:szCs w:val="24"/>
          <w:lang w:val="en-US"/>
        </w:rPr>
        <w:t xml:space="preserve">Çalışmanın amacı farklı senaryolarda </w:t>
      </w:r>
      <w:r w:rsidR="00087B6D">
        <w:rPr>
          <w:rFonts w:ascii="Century" w:hAnsi="Century"/>
          <w:sz w:val="24"/>
          <w:szCs w:val="24"/>
          <w:lang w:val="en-US"/>
        </w:rPr>
        <w:t>t</w:t>
      </w:r>
      <w:r w:rsidR="000159F8" w:rsidRPr="00CA2DE1">
        <w:rPr>
          <w:rFonts w:ascii="Century" w:hAnsi="Century"/>
          <w:sz w:val="24"/>
          <w:szCs w:val="24"/>
          <w:lang w:val="en-US"/>
        </w:rPr>
        <w:t>üretilen veriler</w:t>
      </w:r>
      <w:r w:rsidR="00671217">
        <w:rPr>
          <w:rFonts w:ascii="Century" w:hAnsi="Century"/>
          <w:sz w:val="24"/>
          <w:szCs w:val="24"/>
          <w:lang w:val="en-US"/>
        </w:rPr>
        <w:t xml:space="preserve"> ile yöntem karşılaştırma çalışmalarının ve sabit hata ile oransal hata kavramlarının okuyucuya aktarılmasıdır. </w:t>
      </w:r>
      <w:r w:rsidR="00AB22AF">
        <w:rPr>
          <w:rFonts w:ascii="Century" w:hAnsi="Century"/>
          <w:sz w:val="24"/>
          <w:szCs w:val="24"/>
          <w:lang w:val="en-US"/>
        </w:rPr>
        <w:t xml:space="preserve">Çalışmada </w:t>
      </w:r>
      <w:r w:rsidR="000159F8" w:rsidRPr="00CA2DE1">
        <w:rPr>
          <w:rFonts w:ascii="Century" w:hAnsi="Century"/>
          <w:sz w:val="24"/>
          <w:szCs w:val="24"/>
          <w:lang w:val="en-US"/>
        </w:rPr>
        <w:t xml:space="preserve">10 kişi üzerinde tekrarlı ölçümler yapılarak elde edilen, sabit hata ve oransal hatanın olmadığı benzetim </w:t>
      </w:r>
      <w:r w:rsidR="000159F8" w:rsidRPr="00CA2DE1">
        <w:rPr>
          <w:rFonts w:ascii="Century" w:hAnsi="Century"/>
          <w:sz w:val="24"/>
          <w:szCs w:val="24"/>
          <w:lang w:val="en-US"/>
        </w:rPr>
        <w:lastRenderedPageBreak/>
        <w:t>düzeni</w:t>
      </w:r>
      <w:r w:rsidR="00AB22AF">
        <w:rPr>
          <w:rFonts w:ascii="Century" w:hAnsi="Century"/>
          <w:sz w:val="24"/>
          <w:szCs w:val="24"/>
          <w:lang w:val="en-US"/>
        </w:rPr>
        <w:t xml:space="preserve">ne ilişkin veriler “Magari-uygulama-1” olarak; sabit hatanın olduğu, oransal hatanın olmadığı </w:t>
      </w:r>
      <w:r w:rsidR="00AB22AF" w:rsidRPr="00CA2DE1">
        <w:rPr>
          <w:rFonts w:ascii="Century" w:hAnsi="Century"/>
          <w:sz w:val="24"/>
          <w:szCs w:val="24"/>
          <w:lang w:val="en-US"/>
        </w:rPr>
        <w:t>benzetim düzeni</w:t>
      </w:r>
      <w:r w:rsidR="00AB22AF">
        <w:rPr>
          <w:rFonts w:ascii="Century" w:hAnsi="Century"/>
          <w:sz w:val="24"/>
          <w:szCs w:val="24"/>
          <w:lang w:val="en-US"/>
        </w:rPr>
        <w:t xml:space="preserve">ne ilişkin veriler “Magari-uygulama-2” olarak; sabit hatanın olmadığı, oransal hatanın olduğu </w:t>
      </w:r>
      <w:r w:rsidR="00AB22AF" w:rsidRPr="00CA2DE1">
        <w:rPr>
          <w:rFonts w:ascii="Century" w:hAnsi="Century"/>
          <w:sz w:val="24"/>
          <w:szCs w:val="24"/>
          <w:lang w:val="en-US"/>
        </w:rPr>
        <w:t>benzetim düzeni</w:t>
      </w:r>
      <w:r w:rsidR="00AB22AF">
        <w:rPr>
          <w:rFonts w:ascii="Century" w:hAnsi="Century"/>
          <w:sz w:val="24"/>
          <w:szCs w:val="24"/>
          <w:lang w:val="en-US"/>
        </w:rPr>
        <w:t>ne ilişkin veriler “Magari-uygulama-3” olarak; hem sabit hem de oransal hatanın olduğu veriler “Magari-uygulama-4” olarak adlandırılmıştır.</w:t>
      </w:r>
    </w:p>
    <w:p w:rsidR="00780D15" w:rsidRDefault="000159F8" w:rsidP="0098015E">
      <w:pPr>
        <w:spacing w:line="360" w:lineRule="auto"/>
        <w:ind w:firstLine="708"/>
        <w:jc w:val="both"/>
        <w:rPr>
          <w:rFonts w:ascii="Century" w:hAnsi="Century"/>
          <w:sz w:val="24"/>
          <w:szCs w:val="24"/>
        </w:rPr>
      </w:pPr>
      <w:r w:rsidRPr="00CA2DE1">
        <w:rPr>
          <w:rFonts w:ascii="Century" w:hAnsi="Century"/>
          <w:sz w:val="24"/>
          <w:szCs w:val="24"/>
        </w:rPr>
        <w:t xml:space="preserve">Diğer gerçek veri </w:t>
      </w:r>
      <w:r w:rsidR="00780D15">
        <w:rPr>
          <w:rFonts w:ascii="Century" w:hAnsi="Century"/>
          <w:sz w:val="24"/>
          <w:szCs w:val="24"/>
        </w:rPr>
        <w:t>kreatinin</w:t>
      </w:r>
      <w:r w:rsidRPr="00CA2DE1">
        <w:rPr>
          <w:rFonts w:ascii="Century" w:hAnsi="Century"/>
          <w:sz w:val="24"/>
          <w:szCs w:val="24"/>
        </w:rPr>
        <w:t xml:space="preserve"> verisi olup, </w:t>
      </w:r>
      <w:r w:rsidR="00780D15">
        <w:rPr>
          <w:rFonts w:ascii="Century" w:hAnsi="Century"/>
          <w:sz w:val="24"/>
          <w:szCs w:val="24"/>
        </w:rPr>
        <w:t>(Manuilova vd., 2014) tarafından geliştirilen mcr R kütüphanesi içerisinde bulunan bir uygulama verisidir. Hasta bireylerde serum ve plazma kreatinin düzeylerinin yer aldığı uygulama verisi “kreatinin” olarak adlandırılmıştır.</w:t>
      </w:r>
    </w:p>
    <w:p w:rsidR="00343AD3" w:rsidRDefault="000159F8" w:rsidP="0098015E">
      <w:pPr>
        <w:spacing w:line="360" w:lineRule="auto"/>
        <w:ind w:firstLine="708"/>
        <w:jc w:val="both"/>
        <w:rPr>
          <w:rFonts w:ascii="Century" w:hAnsi="Century"/>
          <w:sz w:val="24"/>
          <w:szCs w:val="24"/>
        </w:rPr>
      </w:pPr>
      <w:r w:rsidRPr="00261F63">
        <w:rPr>
          <w:rFonts w:ascii="Century" w:hAnsi="Century"/>
          <w:sz w:val="24"/>
          <w:szCs w:val="24"/>
        </w:rPr>
        <w:t xml:space="preserve">Diğer gerçek veri EPO9-A3 verisi olup, </w:t>
      </w:r>
      <w:r w:rsidR="003A5BC4">
        <w:rPr>
          <w:rFonts w:ascii="Century" w:hAnsi="Century"/>
          <w:sz w:val="24"/>
          <w:szCs w:val="24"/>
        </w:rPr>
        <w:t xml:space="preserve">(CLSI document EP09-A3., 2013) kılavuzunda </w:t>
      </w:r>
      <w:r w:rsidR="00A82BD0">
        <w:rPr>
          <w:rFonts w:ascii="Century" w:hAnsi="Century"/>
          <w:sz w:val="24"/>
          <w:szCs w:val="24"/>
        </w:rPr>
        <w:t xml:space="preserve">yer alan ve </w:t>
      </w:r>
      <w:r w:rsidR="00A82BD0" w:rsidRPr="00261F63">
        <w:rPr>
          <w:rFonts w:ascii="Century" w:hAnsi="Century"/>
          <w:sz w:val="24"/>
          <w:szCs w:val="24"/>
        </w:rPr>
        <w:t>kullanıcılara sunulan</w:t>
      </w:r>
      <w:r w:rsidR="00A82BD0">
        <w:rPr>
          <w:rFonts w:ascii="Century" w:hAnsi="Century"/>
          <w:sz w:val="24"/>
          <w:szCs w:val="24"/>
        </w:rPr>
        <w:t xml:space="preserve"> uygulama verisidir.</w:t>
      </w:r>
      <w:r w:rsidR="00762427">
        <w:rPr>
          <w:rFonts w:ascii="Century" w:hAnsi="Century"/>
          <w:sz w:val="24"/>
          <w:szCs w:val="24"/>
        </w:rPr>
        <w:t xml:space="preserve"> “</w:t>
      </w:r>
      <w:r w:rsidR="00762427" w:rsidRPr="00261F63">
        <w:rPr>
          <w:rFonts w:ascii="Century" w:hAnsi="Century"/>
          <w:sz w:val="24"/>
          <w:szCs w:val="24"/>
        </w:rPr>
        <w:t>EPO9-A3</w:t>
      </w:r>
      <w:r w:rsidR="00762427">
        <w:rPr>
          <w:rFonts w:ascii="Century" w:hAnsi="Century"/>
          <w:sz w:val="24"/>
          <w:szCs w:val="24"/>
        </w:rPr>
        <w:t>-1” verisi 120 hastanın platelet düzeylerinin referans ve test olmak üzere iki farklı cihazla ölçüldüğü veri setidir.</w:t>
      </w:r>
      <w:r w:rsidR="008551DC" w:rsidRPr="008551DC">
        <w:rPr>
          <w:rFonts w:ascii="Century" w:hAnsi="Century"/>
          <w:sz w:val="24"/>
          <w:szCs w:val="24"/>
        </w:rPr>
        <w:t xml:space="preserve"> </w:t>
      </w:r>
      <w:r w:rsidR="008551DC">
        <w:rPr>
          <w:rFonts w:ascii="Century" w:hAnsi="Century"/>
          <w:sz w:val="24"/>
          <w:szCs w:val="24"/>
        </w:rPr>
        <w:t>“</w:t>
      </w:r>
      <w:r w:rsidR="008551DC" w:rsidRPr="00261F63">
        <w:rPr>
          <w:rFonts w:ascii="Century" w:hAnsi="Century"/>
          <w:sz w:val="24"/>
          <w:szCs w:val="24"/>
        </w:rPr>
        <w:t>EPO9-A3</w:t>
      </w:r>
      <w:r w:rsidR="008551DC">
        <w:rPr>
          <w:rFonts w:ascii="Century" w:hAnsi="Century"/>
          <w:sz w:val="24"/>
          <w:szCs w:val="24"/>
        </w:rPr>
        <w:t xml:space="preserve">-2” verisi </w:t>
      </w:r>
      <w:r w:rsidR="009255EB">
        <w:rPr>
          <w:rFonts w:ascii="Century" w:hAnsi="Century"/>
          <w:sz w:val="24"/>
          <w:szCs w:val="24"/>
        </w:rPr>
        <w:t xml:space="preserve">okuyuculara hata kestiriminin gösterimi amacıyla oluşturulmuş ve </w:t>
      </w:r>
      <w:r w:rsidR="008551DC">
        <w:rPr>
          <w:rFonts w:ascii="Century" w:hAnsi="Century"/>
          <w:sz w:val="24"/>
          <w:szCs w:val="24"/>
        </w:rPr>
        <w:t>79 bireyin iki farklı ölçüm yöntemi ile elde edilmiş verileri</w:t>
      </w:r>
      <w:r w:rsidR="009255EB">
        <w:rPr>
          <w:rFonts w:ascii="Century" w:hAnsi="Century"/>
          <w:sz w:val="24"/>
          <w:szCs w:val="24"/>
        </w:rPr>
        <w:t>ni</w:t>
      </w:r>
      <w:r w:rsidR="008551DC">
        <w:rPr>
          <w:rFonts w:ascii="Century" w:hAnsi="Century"/>
          <w:sz w:val="24"/>
          <w:szCs w:val="24"/>
        </w:rPr>
        <w:t xml:space="preserve"> içermektedir. </w:t>
      </w:r>
      <w:r w:rsidR="00A23EC8">
        <w:rPr>
          <w:rFonts w:ascii="Century" w:hAnsi="Century"/>
          <w:sz w:val="24"/>
          <w:szCs w:val="24"/>
        </w:rPr>
        <w:t>“</w:t>
      </w:r>
      <w:r w:rsidR="00A23EC8" w:rsidRPr="00261F63">
        <w:rPr>
          <w:rFonts w:ascii="Century" w:hAnsi="Century"/>
          <w:sz w:val="24"/>
          <w:szCs w:val="24"/>
        </w:rPr>
        <w:t>EPO9-A3</w:t>
      </w:r>
      <w:r w:rsidR="00A23EC8">
        <w:rPr>
          <w:rFonts w:ascii="Century" w:hAnsi="Century"/>
          <w:sz w:val="24"/>
          <w:szCs w:val="24"/>
        </w:rPr>
        <w:t>-3”</w:t>
      </w:r>
      <w:r w:rsidR="00343AD3">
        <w:rPr>
          <w:rFonts w:ascii="Century" w:hAnsi="Century"/>
          <w:sz w:val="24"/>
          <w:szCs w:val="24"/>
        </w:rPr>
        <w:t xml:space="preserve"> verisi sabit standart sapmaya sahip bir veriyi, “</w:t>
      </w:r>
      <w:r w:rsidR="00343AD3" w:rsidRPr="00261F63">
        <w:rPr>
          <w:rFonts w:ascii="Century" w:hAnsi="Century"/>
          <w:sz w:val="24"/>
          <w:szCs w:val="24"/>
        </w:rPr>
        <w:t>EPO9-A3</w:t>
      </w:r>
      <w:r w:rsidR="00343AD3">
        <w:rPr>
          <w:rFonts w:ascii="Century" w:hAnsi="Century"/>
          <w:sz w:val="24"/>
          <w:szCs w:val="24"/>
        </w:rPr>
        <w:t>-4” ve  “</w:t>
      </w:r>
      <w:r w:rsidR="00343AD3" w:rsidRPr="00261F63">
        <w:rPr>
          <w:rFonts w:ascii="Century" w:hAnsi="Century"/>
          <w:sz w:val="24"/>
          <w:szCs w:val="24"/>
        </w:rPr>
        <w:t>EPO9-A3</w:t>
      </w:r>
      <w:r w:rsidR="00343AD3">
        <w:rPr>
          <w:rFonts w:ascii="Century" w:hAnsi="Century"/>
          <w:sz w:val="24"/>
          <w:szCs w:val="24"/>
        </w:rPr>
        <w:t>-5” verileri sabit varyasyon katsayısına sahip verileri, “</w:t>
      </w:r>
      <w:r w:rsidR="00343AD3" w:rsidRPr="00261F63">
        <w:rPr>
          <w:rFonts w:ascii="Century" w:hAnsi="Century"/>
          <w:sz w:val="24"/>
          <w:szCs w:val="24"/>
        </w:rPr>
        <w:t>EPO9-A3</w:t>
      </w:r>
      <w:r w:rsidR="00343AD3">
        <w:rPr>
          <w:rFonts w:ascii="Century" w:hAnsi="Century"/>
          <w:sz w:val="24"/>
          <w:szCs w:val="24"/>
        </w:rPr>
        <w:t>-6” sabit varyasyon katsayısına sahip ve aşırı değer içeren bir veriyi, “</w:t>
      </w:r>
      <w:r w:rsidR="00343AD3" w:rsidRPr="00261F63">
        <w:rPr>
          <w:rFonts w:ascii="Century" w:hAnsi="Century"/>
          <w:sz w:val="24"/>
          <w:szCs w:val="24"/>
        </w:rPr>
        <w:t>EPO9-A3</w:t>
      </w:r>
      <w:r w:rsidR="00343AD3">
        <w:rPr>
          <w:rFonts w:ascii="Century" w:hAnsi="Century"/>
          <w:sz w:val="24"/>
          <w:szCs w:val="24"/>
        </w:rPr>
        <w:t>-7” sabit standart sapmaya sahip ve aşırı değer içeren bir veriyi, “</w:t>
      </w:r>
      <w:r w:rsidR="00343AD3" w:rsidRPr="00261F63">
        <w:rPr>
          <w:rFonts w:ascii="Century" w:hAnsi="Century"/>
          <w:sz w:val="24"/>
          <w:szCs w:val="24"/>
        </w:rPr>
        <w:t>EPO9-A3</w:t>
      </w:r>
      <w:r w:rsidR="00343AD3">
        <w:rPr>
          <w:rFonts w:ascii="Century" w:hAnsi="Century"/>
          <w:sz w:val="24"/>
          <w:szCs w:val="24"/>
        </w:rPr>
        <w:t>-8” ise sabit standart sapmaya sahip diğer bir veriyi içermektedir.</w:t>
      </w:r>
    </w:p>
    <w:p w:rsidR="005C6052" w:rsidRDefault="000E32F4" w:rsidP="0098015E">
      <w:pPr>
        <w:spacing w:line="360" w:lineRule="auto"/>
        <w:ind w:firstLine="708"/>
        <w:jc w:val="both"/>
        <w:rPr>
          <w:rFonts w:ascii="Century" w:hAnsi="Century"/>
          <w:sz w:val="24"/>
          <w:szCs w:val="24"/>
        </w:rPr>
      </w:pPr>
      <w:r>
        <w:rPr>
          <w:rFonts w:ascii="Century" w:hAnsi="Century"/>
          <w:sz w:val="24"/>
          <w:szCs w:val="24"/>
        </w:rPr>
        <w:t>Çalışmada kullanılan son</w:t>
      </w:r>
      <w:r w:rsidR="000159F8" w:rsidRPr="00314507">
        <w:rPr>
          <w:rFonts w:ascii="Century" w:hAnsi="Century"/>
          <w:sz w:val="24"/>
          <w:szCs w:val="24"/>
        </w:rPr>
        <w:t xml:space="preserve"> gerçek veri Hba1c verisi olup, </w:t>
      </w:r>
      <w:r>
        <w:rPr>
          <w:rFonts w:ascii="Century" w:hAnsi="Century"/>
          <w:sz w:val="24"/>
          <w:szCs w:val="24"/>
        </w:rPr>
        <w:t>(</w:t>
      </w:r>
      <w:r w:rsidR="000159F8" w:rsidRPr="00314507">
        <w:rPr>
          <w:rFonts w:ascii="Century" w:hAnsi="Century"/>
          <w:sz w:val="24"/>
          <w:szCs w:val="24"/>
        </w:rPr>
        <w:t xml:space="preserve">Çalcı </w:t>
      </w:r>
      <w:r>
        <w:rPr>
          <w:rFonts w:ascii="Century" w:hAnsi="Century"/>
          <w:sz w:val="24"/>
          <w:szCs w:val="24"/>
        </w:rPr>
        <w:t xml:space="preserve">vd., </w:t>
      </w:r>
      <w:r w:rsidR="000159F8" w:rsidRPr="00314507">
        <w:rPr>
          <w:rFonts w:ascii="Century" w:hAnsi="Century"/>
          <w:sz w:val="24"/>
          <w:szCs w:val="24"/>
          <w:lang w:val="en-US"/>
        </w:rPr>
        <w:t>2018</w:t>
      </w:r>
      <w:r>
        <w:rPr>
          <w:rFonts w:ascii="Century" w:hAnsi="Century"/>
          <w:sz w:val="24"/>
          <w:szCs w:val="24"/>
          <w:lang w:val="en-US"/>
        </w:rPr>
        <w:t>)</w:t>
      </w:r>
      <w:r w:rsidR="000159F8" w:rsidRPr="00314507">
        <w:rPr>
          <w:rFonts w:ascii="Century" w:hAnsi="Century"/>
          <w:sz w:val="24"/>
          <w:szCs w:val="24"/>
          <w:lang w:val="en-US"/>
        </w:rPr>
        <w:t xml:space="preserve"> </w:t>
      </w:r>
      <w:r w:rsidRPr="00CA2DE1">
        <w:rPr>
          <w:rFonts w:ascii="Century" w:hAnsi="Century"/>
          <w:sz w:val="24"/>
          <w:szCs w:val="24"/>
          <w:lang w:val="en-US"/>
        </w:rPr>
        <w:t>çalışma</w:t>
      </w:r>
      <w:r>
        <w:rPr>
          <w:rFonts w:ascii="Century" w:hAnsi="Century"/>
          <w:sz w:val="24"/>
          <w:szCs w:val="24"/>
          <w:lang w:val="en-US"/>
        </w:rPr>
        <w:t>sın</w:t>
      </w:r>
      <w:r w:rsidRPr="00CA2DE1">
        <w:rPr>
          <w:rFonts w:ascii="Century" w:hAnsi="Century"/>
          <w:sz w:val="24"/>
          <w:szCs w:val="24"/>
          <w:lang w:val="en-US"/>
        </w:rPr>
        <w:t>da kullanılmıştır</w:t>
      </w:r>
      <w:r w:rsidRPr="00CA2DE1">
        <w:rPr>
          <w:rFonts w:ascii="Century" w:hAnsi="Century"/>
          <w:sz w:val="24"/>
          <w:szCs w:val="24"/>
        </w:rPr>
        <w:t xml:space="preserve">. </w:t>
      </w:r>
      <w:r w:rsidR="000159F8" w:rsidRPr="00314507">
        <w:rPr>
          <w:rFonts w:ascii="Century" w:hAnsi="Century"/>
          <w:sz w:val="24"/>
          <w:szCs w:val="24"/>
        </w:rPr>
        <w:t>Bu çalışmanın amacı kronik böbrek yetmezliği olan hastalarda diyaliz öncesi ve diyaliz sonrasında üç farklı laboratuvar yöntemi ile elde edilen Hba1c ölçümlerini karşılaştırmaktır. Bahsedilen üç yöntem olarak Boronat affinite HPLC, IEX HPLC ve İmmun türbidimetrik yönteml</w:t>
      </w:r>
      <w:r w:rsidR="00F262A5">
        <w:rPr>
          <w:rFonts w:ascii="Century" w:hAnsi="Century"/>
          <w:sz w:val="24"/>
          <w:szCs w:val="24"/>
        </w:rPr>
        <w:t xml:space="preserve">eri çalışmaya dâhil edilmiştir. </w:t>
      </w:r>
      <w:r w:rsidR="00F262A5" w:rsidRPr="00314507">
        <w:rPr>
          <w:rFonts w:ascii="Century" w:hAnsi="Century"/>
          <w:sz w:val="24"/>
          <w:szCs w:val="24"/>
        </w:rPr>
        <w:t>IEX HPLC</w:t>
      </w:r>
      <w:r w:rsidR="00F262A5" w:rsidRPr="00314507">
        <w:rPr>
          <w:rFonts w:ascii="Century" w:hAnsi="Century"/>
          <w:sz w:val="24"/>
          <w:szCs w:val="24"/>
          <w:lang w:val="en-US"/>
        </w:rPr>
        <w:t xml:space="preserve"> ve</w:t>
      </w:r>
      <w:r w:rsidR="00F262A5" w:rsidRPr="00314507">
        <w:rPr>
          <w:rFonts w:ascii="Century" w:hAnsi="Century"/>
          <w:sz w:val="24"/>
          <w:szCs w:val="24"/>
        </w:rPr>
        <w:t xml:space="preserve"> İmmun</w:t>
      </w:r>
      <w:r w:rsidR="00F262A5" w:rsidRPr="00314507">
        <w:rPr>
          <w:rFonts w:ascii="Century" w:hAnsi="Century"/>
          <w:sz w:val="24"/>
          <w:szCs w:val="24"/>
          <w:lang w:val="en-US"/>
        </w:rPr>
        <w:t xml:space="preserve"> </w:t>
      </w:r>
      <w:r w:rsidR="00F262A5" w:rsidRPr="00314507">
        <w:rPr>
          <w:rFonts w:ascii="Century" w:hAnsi="Century"/>
          <w:sz w:val="24"/>
          <w:szCs w:val="24"/>
        </w:rPr>
        <w:t>türbidimetrik</w:t>
      </w:r>
      <w:r w:rsidR="00F262A5" w:rsidRPr="00314507">
        <w:rPr>
          <w:rFonts w:ascii="Century" w:hAnsi="Century"/>
          <w:sz w:val="24"/>
          <w:szCs w:val="24"/>
          <w:lang w:val="en-US"/>
        </w:rPr>
        <w:t xml:space="preserve"> yöntemlerin</w:t>
      </w:r>
      <w:r w:rsidR="00F262A5">
        <w:rPr>
          <w:rFonts w:ascii="Century" w:hAnsi="Century"/>
          <w:sz w:val="24"/>
          <w:szCs w:val="24"/>
          <w:lang w:val="en-US"/>
        </w:rPr>
        <w:t>e ilişkin</w:t>
      </w:r>
      <w:r w:rsidR="00F262A5">
        <w:rPr>
          <w:rFonts w:ascii="Century" w:hAnsi="Century"/>
          <w:sz w:val="24"/>
          <w:szCs w:val="24"/>
        </w:rPr>
        <w:t xml:space="preserve"> Hba1c ölçümlerinin karşılaştırıldığı veriler diyaliz öncesi için “Hba1c-1” olarak, diyaliz sonrası için “Hba1c-2” olarak adlandırılmıştır. </w:t>
      </w:r>
      <w:r w:rsidR="00F262A5" w:rsidRPr="006D4C09">
        <w:rPr>
          <w:rFonts w:ascii="Century" w:hAnsi="Century"/>
          <w:sz w:val="24"/>
          <w:szCs w:val="24"/>
        </w:rPr>
        <w:t>Boronat affinite HPLC</w:t>
      </w:r>
      <w:r w:rsidR="00F262A5" w:rsidRPr="006D4C09">
        <w:rPr>
          <w:rFonts w:ascii="Century" w:hAnsi="Century"/>
          <w:sz w:val="24"/>
          <w:szCs w:val="24"/>
          <w:lang w:val="en-US"/>
        </w:rPr>
        <w:t xml:space="preserve"> ve</w:t>
      </w:r>
      <w:r w:rsidR="00F262A5" w:rsidRPr="006D4C09">
        <w:rPr>
          <w:rFonts w:ascii="Century" w:hAnsi="Century"/>
          <w:sz w:val="24"/>
          <w:szCs w:val="24"/>
        </w:rPr>
        <w:t xml:space="preserve"> İmmun</w:t>
      </w:r>
      <w:r w:rsidR="00F262A5" w:rsidRPr="006D4C09">
        <w:rPr>
          <w:rFonts w:ascii="Century" w:hAnsi="Century"/>
          <w:sz w:val="24"/>
          <w:szCs w:val="24"/>
          <w:lang w:val="en-US"/>
        </w:rPr>
        <w:t xml:space="preserve"> </w:t>
      </w:r>
      <w:r w:rsidR="00F262A5" w:rsidRPr="006D4C09">
        <w:rPr>
          <w:rFonts w:ascii="Century" w:hAnsi="Century"/>
          <w:sz w:val="24"/>
          <w:szCs w:val="24"/>
        </w:rPr>
        <w:t>türbidimetrik</w:t>
      </w:r>
      <w:r w:rsidR="00F262A5" w:rsidRPr="00314507">
        <w:rPr>
          <w:rFonts w:ascii="Century" w:hAnsi="Century"/>
          <w:sz w:val="24"/>
          <w:szCs w:val="24"/>
          <w:lang w:val="en-US"/>
        </w:rPr>
        <w:t xml:space="preserve"> yöntemlerin</w:t>
      </w:r>
      <w:r w:rsidR="00F262A5">
        <w:rPr>
          <w:rFonts w:ascii="Century" w:hAnsi="Century"/>
          <w:sz w:val="24"/>
          <w:szCs w:val="24"/>
          <w:lang w:val="en-US"/>
        </w:rPr>
        <w:t>e ilişkin</w:t>
      </w:r>
      <w:r w:rsidR="00F262A5">
        <w:rPr>
          <w:rFonts w:ascii="Century" w:hAnsi="Century"/>
          <w:sz w:val="24"/>
          <w:szCs w:val="24"/>
        </w:rPr>
        <w:t xml:space="preserve"> Hba1c ölçümlerinin karşılaştırıldığı veriler diyaliz öncesi için “Hba1c-3” olarak, diyaliz sonrası için “Hba1c-4” olarak adlandırılmıştır. </w:t>
      </w:r>
      <w:r w:rsidR="00F262A5" w:rsidRPr="006D4C09">
        <w:rPr>
          <w:rFonts w:ascii="Century" w:hAnsi="Century"/>
          <w:sz w:val="24"/>
          <w:szCs w:val="24"/>
        </w:rPr>
        <w:t>Boronat affinite HPLC</w:t>
      </w:r>
      <w:r w:rsidR="00F262A5" w:rsidRPr="006D4C09">
        <w:rPr>
          <w:rFonts w:ascii="Century" w:hAnsi="Century"/>
          <w:sz w:val="24"/>
          <w:szCs w:val="24"/>
          <w:lang w:val="en-US"/>
        </w:rPr>
        <w:t xml:space="preserve"> ve</w:t>
      </w:r>
      <w:r w:rsidR="00F262A5" w:rsidRPr="006D4C09">
        <w:rPr>
          <w:rFonts w:ascii="Century" w:hAnsi="Century"/>
          <w:sz w:val="24"/>
          <w:szCs w:val="24"/>
        </w:rPr>
        <w:t xml:space="preserve"> IEX HPLC</w:t>
      </w:r>
      <w:r w:rsidR="00F262A5" w:rsidRPr="006D4C09">
        <w:rPr>
          <w:rFonts w:ascii="Century" w:hAnsi="Century"/>
          <w:sz w:val="24"/>
          <w:szCs w:val="24"/>
          <w:lang w:val="en-US"/>
        </w:rPr>
        <w:t xml:space="preserve"> </w:t>
      </w:r>
      <w:r w:rsidR="00F262A5" w:rsidRPr="00314507">
        <w:rPr>
          <w:rFonts w:ascii="Century" w:hAnsi="Century"/>
          <w:sz w:val="24"/>
          <w:szCs w:val="24"/>
          <w:lang w:val="en-US"/>
        </w:rPr>
        <w:t>yöntemlerin</w:t>
      </w:r>
      <w:r w:rsidR="00F262A5">
        <w:rPr>
          <w:rFonts w:ascii="Century" w:hAnsi="Century"/>
          <w:sz w:val="24"/>
          <w:szCs w:val="24"/>
          <w:lang w:val="en-US"/>
        </w:rPr>
        <w:t>e ilişkin</w:t>
      </w:r>
      <w:r w:rsidR="00F262A5">
        <w:rPr>
          <w:rFonts w:ascii="Century" w:hAnsi="Century"/>
          <w:sz w:val="24"/>
          <w:szCs w:val="24"/>
        </w:rPr>
        <w:t xml:space="preserve"> Hba1c </w:t>
      </w:r>
      <w:r w:rsidR="00F262A5">
        <w:rPr>
          <w:rFonts w:ascii="Century" w:hAnsi="Century"/>
          <w:sz w:val="24"/>
          <w:szCs w:val="24"/>
        </w:rPr>
        <w:lastRenderedPageBreak/>
        <w:t>ölçümlerinin karşılaştırıldığı veriler diyaliz öncesi için “Hba1c-5” olarak, diyaliz sonrası için “Hba1c-6” olarak adlandırılmıştır.</w:t>
      </w:r>
    </w:p>
    <w:p w:rsidR="007178DC" w:rsidRPr="007178DC" w:rsidRDefault="007178DC" w:rsidP="007178DC">
      <w:pPr>
        <w:spacing w:line="360" w:lineRule="auto"/>
        <w:jc w:val="both"/>
        <w:rPr>
          <w:rFonts w:ascii="Century" w:hAnsi="Century"/>
          <w:sz w:val="24"/>
          <w:szCs w:val="24"/>
        </w:rPr>
      </w:pPr>
    </w:p>
    <w:p w:rsidR="000815A3" w:rsidRDefault="000815A3" w:rsidP="000815A3">
      <w:pPr>
        <w:spacing w:line="360" w:lineRule="auto"/>
        <w:jc w:val="both"/>
        <w:rPr>
          <w:rFonts w:ascii="Century" w:hAnsi="Century"/>
          <w:b/>
          <w:sz w:val="24"/>
        </w:rPr>
      </w:pPr>
      <w:r>
        <w:rPr>
          <w:rFonts w:ascii="Century" w:hAnsi="Century"/>
          <w:b/>
          <w:sz w:val="24"/>
        </w:rPr>
        <w:t>3.2. Kapsamlı Bir Benzetim Çalışması ile Regresyon Yöntemleri ve Güven Aralığı Yaklaşımlarının Performansının Değerlendirilmesi</w:t>
      </w:r>
    </w:p>
    <w:p w:rsidR="000815A3" w:rsidRDefault="000815A3" w:rsidP="000815A3">
      <w:pPr>
        <w:spacing w:line="360" w:lineRule="auto"/>
        <w:jc w:val="both"/>
        <w:rPr>
          <w:rFonts w:ascii="Century" w:hAnsi="Century"/>
          <w:sz w:val="24"/>
        </w:rPr>
      </w:pPr>
      <w:r>
        <w:rPr>
          <w:rFonts w:ascii="Century" w:hAnsi="Century"/>
          <w:sz w:val="24"/>
        </w:rPr>
        <w:t xml:space="preserve">Tez boyunca bahsedilen regresyon yöntemlerinin ve güven aralığı yaklaşımlarının performanslarının araştırılması ve birbirleriyle karşılaştırılması amacıyla kapsamlı bir benzetim çalışması gerçekleştirilmiştir. Bu benzetim çalışmasına bir önceki bölüme benzer şekilde regresyon yöntemi olarak literatürde sıklıkla tercih edilen EKK, DR, ve </w:t>
      </w:r>
      <w:r w:rsidR="00392521">
        <w:rPr>
          <w:rFonts w:ascii="Century" w:hAnsi="Century"/>
          <w:sz w:val="24"/>
        </w:rPr>
        <w:t>PB</w:t>
      </w:r>
      <w:r>
        <w:rPr>
          <w:rFonts w:ascii="Century" w:hAnsi="Century"/>
          <w:sz w:val="24"/>
        </w:rPr>
        <w:t xml:space="preserve"> regresyon yöntemleri dahil edilmiştir. Aynı şekilde, her bir yöntem için güven aralığı yaklaşımı olarak analitik, jackknife, bootstrap yüzdelik, bootstrap student, bootstrap bca, bootstrap </w:t>
      </w:r>
      <w:r w:rsidRPr="00371F7E">
        <w:rPr>
          <w:rFonts w:ascii="Century" w:hAnsi="Century"/>
          <w:i/>
          <w:sz w:val="24"/>
        </w:rPr>
        <w:t>t</w:t>
      </w:r>
      <w:r>
        <w:rPr>
          <w:rFonts w:ascii="Century" w:hAnsi="Century"/>
          <w:sz w:val="24"/>
        </w:rPr>
        <w:t xml:space="preserve"> kullanılmıştır.</w:t>
      </w:r>
    </w:p>
    <w:p w:rsidR="000815A3" w:rsidRDefault="000815A3" w:rsidP="000815A3">
      <w:pPr>
        <w:spacing w:line="360" w:lineRule="auto"/>
        <w:jc w:val="both"/>
        <w:rPr>
          <w:rFonts w:ascii="Century" w:hAnsi="Century"/>
          <w:sz w:val="24"/>
        </w:rPr>
      </w:pPr>
      <w:r>
        <w:rPr>
          <w:rFonts w:ascii="Century" w:hAnsi="Century"/>
          <w:sz w:val="24"/>
        </w:rPr>
        <w:tab/>
        <w:t>Benzetim süreci aşağıdaki varsayım</w:t>
      </w:r>
      <w:r w:rsidR="003C30F8">
        <w:rPr>
          <w:rFonts w:ascii="Century" w:hAnsi="Century"/>
          <w:sz w:val="24"/>
        </w:rPr>
        <w:t>lar</w:t>
      </w:r>
      <w:r>
        <w:rPr>
          <w:rFonts w:ascii="Century" w:hAnsi="Century"/>
          <w:sz w:val="24"/>
        </w:rPr>
        <w:t xml:space="preserve"> altında gerçekleştirilmiştir:</w:t>
      </w:r>
    </w:p>
    <w:p w:rsidR="000815A3" w:rsidRPr="00FC1A45" w:rsidRDefault="000815A3" w:rsidP="000815A3">
      <w:pPr>
        <w:pStyle w:val="ListeParagraf"/>
        <w:numPr>
          <w:ilvl w:val="0"/>
          <w:numId w:val="1"/>
        </w:numPr>
        <w:spacing w:line="360" w:lineRule="auto"/>
        <w:jc w:val="both"/>
        <w:rPr>
          <w:rFonts w:ascii="Century" w:hAnsi="Century"/>
          <w:sz w:val="24"/>
        </w:rPr>
      </w:pPr>
      <w:r w:rsidRPr="00FC1A45">
        <w:rPr>
          <w:rFonts w:ascii="Century" w:hAnsi="Century"/>
          <w:i/>
          <w:sz w:val="24"/>
        </w:rPr>
        <w:t>X</w:t>
      </w:r>
      <w:r w:rsidRPr="00FC1A45">
        <w:rPr>
          <w:rFonts w:ascii="Century" w:hAnsi="Century"/>
          <w:sz w:val="24"/>
        </w:rPr>
        <w:t xml:space="preserve"> ve </w:t>
      </w:r>
      <w:r w:rsidRPr="00FC1A45">
        <w:rPr>
          <w:rFonts w:ascii="Century" w:hAnsi="Century"/>
          <w:i/>
          <w:sz w:val="24"/>
        </w:rPr>
        <w:t>Y</w:t>
      </w:r>
      <w:r w:rsidRPr="00FC1A45">
        <w:rPr>
          <w:rFonts w:ascii="Century" w:hAnsi="Century"/>
          <w:sz w:val="24"/>
        </w:rPr>
        <w:t xml:space="preserve"> yöntemleri arasında doğrusal bir ilişki bulunmaktadır.</w:t>
      </w:r>
    </w:p>
    <w:p w:rsidR="000815A3" w:rsidRDefault="000815A3" w:rsidP="000815A3">
      <w:pPr>
        <w:pStyle w:val="ListeParagraf"/>
        <w:numPr>
          <w:ilvl w:val="0"/>
          <w:numId w:val="1"/>
        </w:numPr>
        <w:spacing w:line="360" w:lineRule="auto"/>
        <w:jc w:val="both"/>
        <w:rPr>
          <w:rFonts w:ascii="Century" w:hAnsi="Century"/>
          <w:sz w:val="24"/>
        </w:rPr>
      </w:pPr>
      <w:r w:rsidRPr="00FC1A45">
        <w:rPr>
          <w:rFonts w:ascii="Century" w:hAnsi="Century"/>
          <w:i/>
          <w:sz w:val="24"/>
        </w:rPr>
        <w:t>X</w:t>
      </w:r>
      <w:r w:rsidRPr="00FC1A45">
        <w:rPr>
          <w:rFonts w:ascii="Century" w:hAnsi="Century"/>
          <w:sz w:val="24"/>
        </w:rPr>
        <w:t xml:space="preserve"> ve</w:t>
      </w:r>
      <w:r>
        <w:rPr>
          <w:rFonts w:ascii="Century" w:hAnsi="Century"/>
          <w:sz w:val="24"/>
        </w:rPr>
        <w:t xml:space="preserve"> </w:t>
      </w:r>
      <w:r w:rsidRPr="00FC1A45">
        <w:rPr>
          <w:rFonts w:ascii="Century" w:hAnsi="Century"/>
          <w:i/>
          <w:sz w:val="24"/>
        </w:rPr>
        <w:t>Y</w:t>
      </w:r>
      <w:r>
        <w:rPr>
          <w:rFonts w:ascii="Century" w:hAnsi="Century"/>
          <w:i/>
          <w:sz w:val="24"/>
        </w:rPr>
        <w:t>,</w:t>
      </w:r>
      <w:r w:rsidRPr="00FC1A45">
        <w:rPr>
          <w:rFonts w:ascii="Century" w:hAnsi="Century"/>
          <w:sz w:val="24"/>
        </w:rPr>
        <w:t xml:space="preserve"> aynı örnek için birbirinden bağımsız ölçümler yapan nicel değişkenlerdir.</w:t>
      </w:r>
    </w:p>
    <w:p w:rsidR="00A71C4E" w:rsidRPr="00A71C4E" w:rsidRDefault="00A71C4E" w:rsidP="000815A3">
      <w:pPr>
        <w:pStyle w:val="ListeParagraf"/>
        <w:numPr>
          <w:ilvl w:val="0"/>
          <w:numId w:val="1"/>
        </w:numPr>
        <w:spacing w:line="360" w:lineRule="auto"/>
        <w:jc w:val="both"/>
        <w:rPr>
          <w:rFonts w:ascii="Century" w:hAnsi="Century"/>
          <w:sz w:val="24"/>
        </w:rPr>
      </w:pPr>
      <w:r>
        <w:rPr>
          <w:rFonts w:ascii="Century" w:hAnsi="Century"/>
          <w:i/>
          <w:sz w:val="24"/>
        </w:rPr>
        <w:t xml:space="preserve">X </w:t>
      </w:r>
      <w:r w:rsidRPr="00A71C4E">
        <w:rPr>
          <w:rFonts w:ascii="Century" w:hAnsi="Century"/>
          <w:sz w:val="24"/>
        </w:rPr>
        <w:t xml:space="preserve">ve </w:t>
      </w:r>
      <w:r>
        <w:rPr>
          <w:rFonts w:ascii="Century" w:hAnsi="Century"/>
          <w:i/>
          <w:sz w:val="24"/>
        </w:rPr>
        <w:t xml:space="preserve">Y </w:t>
      </w:r>
      <w:r w:rsidRPr="00A71C4E">
        <w:rPr>
          <w:rFonts w:ascii="Century" w:hAnsi="Century"/>
          <w:sz w:val="24"/>
        </w:rPr>
        <w:t xml:space="preserve">yöntemlerine ilişkin ölçüm hataları oranı </w:t>
      </w:r>
      <w:r w:rsidR="00E30C7F">
        <w:rPr>
          <w:rFonts w:ascii="Century" w:hAnsi="Century"/>
          <w:sz w:val="24"/>
        </w:rPr>
        <w:t xml:space="preserve">(analitik standart sapma oranı, </w:t>
      </w:r>
      <w:r w:rsidR="00E30C7F" w:rsidRPr="00E30C7F">
        <w:rPr>
          <w:rFonts w:ascii="Century" w:hAnsi="Century"/>
          <w:i/>
          <w:sz w:val="24"/>
        </w:rPr>
        <w:t>λ</w:t>
      </w:r>
      <w:r w:rsidR="00E30C7F">
        <w:rPr>
          <w:rFonts w:ascii="Century" w:hAnsi="Century"/>
          <w:sz w:val="24"/>
        </w:rPr>
        <w:t xml:space="preserve">) </w:t>
      </w:r>
      <w:r w:rsidRPr="00A71C4E">
        <w:rPr>
          <w:rFonts w:ascii="Century" w:hAnsi="Century"/>
          <w:sz w:val="24"/>
        </w:rPr>
        <w:t>sabittir.</w:t>
      </w:r>
    </w:p>
    <w:p w:rsidR="000815A3" w:rsidRDefault="000815A3" w:rsidP="000815A3">
      <w:pPr>
        <w:spacing w:line="360" w:lineRule="auto"/>
        <w:jc w:val="both"/>
        <w:rPr>
          <w:rFonts w:ascii="Century" w:hAnsi="Century"/>
          <w:sz w:val="24"/>
        </w:rPr>
      </w:pPr>
      <w:r>
        <w:rPr>
          <w:rFonts w:ascii="Century" w:hAnsi="Century"/>
          <w:sz w:val="24"/>
        </w:rPr>
        <w:tab/>
        <w:t xml:space="preserve">Benzetim sürecinde ilk olarak dağılım aralığı oranı farklı üç farklı senaryo oluşturulmuştur. </w:t>
      </w:r>
      <m:oMath>
        <m:r>
          <w:rPr>
            <w:rFonts w:ascii="Cambria Math" w:hAnsi="Cambria Math"/>
            <w:sz w:val="24"/>
          </w:rPr>
          <m:t>x</m:t>
        </m:r>
      </m:oMath>
      <w:r>
        <w:rPr>
          <w:rFonts w:ascii="Century" w:eastAsiaTheme="minorEastAsia" w:hAnsi="Century"/>
          <w:sz w:val="24"/>
        </w:rPr>
        <w:t xml:space="preserve"> ölçümüne ilişkin dağılım aralığının </w:t>
      </w:r>
      <m:oMath>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min</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max</m:t>
                </m:r>
              </m:sub>
            </m:sSub>
          </m:e>
        </m:d>
      </m:oMath>
      <w:r>
        <w:rPr>
          <w:rFonts w:ascii="Century" w:eastAsiaTheme="minorEastAsia" w:hAnsi="Century"/>
          <w:sz w:val="24"/>
        </w:rPr>
        <w:t xml:space="preserve"> olduğu varsayıldığında, dağılım aralığı </w:t>
      </w:r>
      <m:oMath>
        <m:r>
          <w:rPr>
            <w:rFonts w:ascii="Cambria Math" w:eastAsiaTheme="minorEastAsia" w:hAnsi="Cambria Math"/>
            <w:sz w:val="24"/>
          </w:rPr>
          <m:t>c=</m:t>
        </m:r>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max</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c</m:t>
            </m:r>
          </m:e>
          <m:sub>
            <m:r>
              <w:rPr>
                <w:rFonts w:ascii="Cambria Math" w:eastAsiaTheme="minorEastAsia" w:hAnsi="Cambria Math"/>
                <w:sz w:val="24"/>
              </w:rPr>
              <m:t>min</m:t>
            </m:r>
          </m:sub>
        </m:sSub>
      </m:oMath>
      <w:r>
        <w:rPr>
          <w:rFonts w:ascii="Century" w:eastAsiaTheme="minorEastAsia" w:hAnsi="Century"/>
          <w:sz w:val="24"/>
        </w:rPr>
        <w:t xml:space="preserve"> ile belirlenebilir. </w:t>
      </w:r>
      <w:r w:rsidR="00B82BA4">
        <w:rPr>
          <w:rFonts w:ascii="Century" w:eastAsiaTheme="minorEastAsia" w:hAnsi="Century"/>
          <w:sz w:val="24"/>
        </w:rPr>
        <w:t>(</w:t>
      </w:r>
      <w:r>
        <w:rPr>
          <w:rFonts w:ascii="Century" w:eastAsiaTheme="minorEastAsia" w:hAnsi="Century"/>
          <w:sz w:val="24"/>
        </w:rPr>
        <w:t>Pa</w:t>
      </w:r>
      <w:r w:rsidR="0096058A">
        <w:rPr>
          <w:rFonts w:ascii="Century" w:eastAsiaTheme="minorEastAsia" w:hAnsi="Century"/>
          <w:sz w:val="24"/>
        </w:rPr>
        <w:t>s</w:t>
      </w:r>
      <w:r>
        <w:rPr>
          <w:rFonts w:ascii="Century" w:eastAsiaTheme="minorEastAsia" w:hAnsi="Century"/>
          <w:sz w:val="24"/>
        </w:rPr>
        <w:t>sing</w:t>
      </w:r>
      <w:r w:rsidR="00B82BA4">
        <w:rPr>
          <w:rFonts w:ascii="Century" w:eastAsiaTheme="minorEastAsia" w:hAnsi="Century"/>
          <w:sz w:val="24"/>
        </w:rPr>
        <w:t xml:space="preserve"> vd., </w:t>
      </w:r>
      <w:r>
        <w:rPr>
          <w:rFonts w:ascii="Century" w:eastAsiaTheme="minorEastAsia" w:hAnsi="Century"/>
          <w:sz w:val="24"/>
        </w:rPr>
        <w:t xml:space="preserve">1984) çalışmasına göre </w:t>
      </w:r>
      <m:oMath>
        <m:r>
          <w:rPr>
            <w:rFonts w:ascii="Cambria Math" w:eastAsiaTheme="minorEastAsia" w:hAnsi="Cambria Math"/>
            <w:sz w:val="24"/>
          </w:rPr>
          <m:t>c&lt;4</m:t>
        </m:r>
      </m:oMath>
      <w:r>
        <w:rPr>
          <w:rFonts w:ascii="Century" w:eastAsiaTheme="minorEastAsia" w:hAnsi="Century"/>
          <w:sz w:val="24"/>
        </w:rPr>
        <w:t xml:space="preserve"> olan veriler dağılım aralığı dar, </w:t>
      </w:r>
      <m:oMath>
        <m:r>
          <w:rPr>
            <w:rFonts w:ascii="Cambria Math" w:eastAsiaTheme="minorEastAsia" w:hAnsi="Cambria Math"/>
            <w:sz w:val="24"/>
          </w:rPr>
          <m:t>4≤c&lt;8</m:t>
        </m:r>
      </m:oMath>
      <w:r>
        <w:rPr>
          <w:rFonts w:ascii="Century" w:hAnsi="Century"/>
          <w:sz w:val="24"/>
        </w:rPr>
        <w:t xml:space="preserve"> olan veriler dağılım aralığı orta büyüklükte ve </w:t>
      </w:r>
      <m:oMath>
        <m:r>
          <w:rPr>
            <w:rFonts w:ascii="Cambria Math" w:eastAsiaTheme="minorEastAsia" w:hAnsi="Cambria Math"/>
            <w:sz w:val="24"/>
          </w:rPr>
          <m:t>c≥8</m:t>
        </m:r>
      </m:oMath>
      <w:r>
        <w:rPr>
          <w:rFonts w:ascii="Century" w:eastAsiaTheme="minorEastAsia" w:hAnsi="Century"/>
          <w:sz w:val="24"/>
        </w:rPr>
        <w:t xml:space="preserve"> olan veriler ise dağılım aralığı geniş olarak sınıflandırılmıştır. Gerçekleştirilen benzetim çalışmasında öncelikle dağılım aralığı dar, orta büyüklükte ve geniş olan üç farklı dağılım oranı senaryosu oluşturulmuştur.</w:t>
      </w:r>
    </w:p>
    <w:p w:rsidR="000815A3" w:rsidRDefault="000815A3" w:rsidP="000815A3">
      <w:pPr>
        <w:spacing w:line="360" w:lineRule="auto"/>
        <w:ind w:firstLine="708"/>
        <w:jc w:val="both"/>
        <w:rPr>
          <w:rFonts w:ascii="Century" w:hAnsi="Century"/>
          <w:sz w:val="24"/>
        </w:rPr>
      </w:pPr>
      <w:r>
        <w:rPr>
          <w:rFonts w:ascii="Century" w:hAnsi="Century"/>
          <w:sz w:val="24"/>
        </w:rPr>
        <w:t xml:space="preserve">Bu sayede farklı dağılım aralığı oranına sahip ölçümlerde regresyon yöntemlerinin ve güven aralığı yaklaşımlarının performansının ne olacağı araştırılmıştır. Her bir senaryoda aşağıdaki tüm olası durumlar için veri türetimi </w:t>
      </w:r>
      <w:r>
        <w:rPr>
          <w:rFonts w:ascii="Century" w:hAnsi="Century"/>
          <w:sz w:val="24"/>
        </w:rPr>
        <w:lastRenderedPageBreak/>
        <w:t>gerçekleştirilmiş ve yukarıda belirtilen yöntemler kullanılarak parametre kestirimi yapılmıştır:</w:t>
      </w:r>
    </w:p>
    <w:p w:rsidR="000B3BF7" w:rsidRDefault="000B3BF7" w:rsidP="000815A3">
      <w:pPr>
        <w:spacing w:line="360" w:lineRule="auto"/>
        <w:ind w:firstLine="708"/>
        <w:jc w:val="both"/>
        <w:rPr>
          <w:rFonts w:ascii="Century" w:hAnsi="Century"/>
          <w:sz w:val="24"/>
        </w:rPr>
      </w:pPr>
      <w:r>
        <w:rPr>
          <w:rFonts w:ascii="Century" w:hAnsi="Century"/>
          <w:sz w:val="24"/>
        </w:rPr>
        <w:t>Ölçümlerin dağılım</w:t>
      </w:r>
      <w:r w:rsidR="00894329">
        <w:rPr>
          <w:rFonts w:ascii="Century" w:hAnsi="Century"/>
          <w:sz w:val="24"/>
        </w:rPr>
        <w:t xml:space="preserve"> aralığı</w:t>
      </w:r>
      <w:r w:rsidR="00203963">
        <w:rPr>
          <w:rFonts w:ascii="Century" w:hAnsi="Century"/>
          <w:sz w:val="24"/>
        </w:rPr>
        <w:t xml:space="preserve"> oranı</w:t>
      </w:r>
      <w:r w:rsidR="0038776D">
        <w:rPr>
          <w:rFonts w:ascii="Century" w:hAnsi="Century"/>
          <w:sz w:val="24"/>
        </w:rPr>
        <w:t xml:space="preserve">; dar, </w:t>
      </w:r>
      <w:r>
        <w:rPr>
          <w:rFonts w:ascii="Century" w:hAnsi="Century"/>
          <w:sz w:val="24"/>
        </w:rPr>
        <w:t xml:space="preserve">orta </w:t>
      </w:r>
      <w:r w:rsidR="0038776D">
        <w:rPr>
          <w:rFonts w:ascii="Century" w:hAnsi="Century"/>
          <w:sz w:val="24"/>
        </w:rPr>
        <w:t>ve geniş,</w:t>
      </w:r>
    </w:p>
    <w:p w:rsidR="000815A3" w:rsidRPr="006C63B3" w:rsidRDefault="000815A3" w:rsidP="000815A3">
      <w:pPr>
        <w:spacing w:line="360" w:lineRule="auto"/>
        <w:ind w:firstLine="708"/>
        <w:jc w:val="both"/>
        <w:rPr>
          <w:rFonts w:ascii="Century" w:eastAsiaTheme="minorEastAsia" w:hAnsi="Century"/>
          <w:sz w:val="24"/>
        </w:rPr>
      </w:pPr>
      <w:r>
        <w:rPr>
          <w:rFonts w:ascii="Century" w:hAnsi="Century"/>
          <w:sz w:val="24"/>
        </w:rPr>
        <w:t>Örneklem büyüklüğü</w:t>
      </w:r>
      <m:oMath>
        <m:r>
          <w:rPr>
            <w:rFonts w:ascii="Cambria Math" w:hAnsi="Cambria Math"/>
            <w:sz w:val="24"/>
          </w:rPr>
          <m:t>; n=</m:t>
        </m:r>
        <m:d>
          <m:dPr>
            <m:ctrlPr>
              <w:rPr>
                <w:rFonts w:ascii="Cambria Math" w:hAnsi="Cambria Math"/>
                <w:i/>
                <w:sz w:val="24"/>
              </w:rPr>
            </m:ctrlPr>
          </m:dPr>
          <m:e>
            <m:r>
              <w:rPr>
                <w:rFonts w:ascii="Cambria Math" w:hAnsi="Cambria Math"/>
                <w:sz w:val="24"/>
              </w:rPr>
              <m:t>50, 100, 150, 200</m:t>
            </m:r>
          </m:e>
        </m:d>
        <m:r>
          <w:rPr>
            <w:rFonts w:ascii="Cambria Math" w:hAnsi="Cambria Math"/>
            <w:sz w:val="24"/>
          </w:rPr>
          <m:t>,</m:t>
        </m:r>
      </m:oMath>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t>Ölçümlerin dağılımı; simetrik ve pozitif çarpık,</w:t>
      </w:r>
    </w:p>
    <w:p w:rsidR="000815A3" w:rsidRDefault="00000D3E" w:rsidP="000815A3">
      <w:pPr>
        <w:spacing w:line="360" w:lineRule="auto"/>
        <w:ind w:firstLine="708"/>
        <w:jc w:val="both"/>
        <w:rPr>
          <w:rFonts w:ascii="Century" w:eastAsiaTheme="minorEastAsia" w:hAnsi="Century"/>
          <w:sz w:val="24"/>
        </w:rPr>
      </w:pPr>
      <w:r>
        <w:rPr>
          <w:rFonts w:ascii="Century" w:eastAsiaTheme="minorEastAsia" w:hAnsi="Century"/>
          <w:sz w:val="24"/>
        </w:rPr>
        <w:t>A</w:t>
      </w:r>
      <w:r w:rsidR="000815A3">
        <w:rPr>
          <w:rFonts w:ascii="Century" w:eastAsiaTheme="minorEastAsia" w:hAnsi="Century"/>
          <w:sz w:val="24"/>
        </w:rPr>
        <w:t xml:space="preserve">nalitik </w:t>
      </w:r>
      <w:r w:rsidR="002A3294">
        <w:rPr>
          <w:rFonts w:ascii="Century" w:eastAsiaTheme="minorEastAsia" w:hAnsi="Century"/>
          <w:sz w:val="24"/>
        </w:rPr>
        <w:t>standart sapma</w:t>
      </w:r>
      <w:r w:rsidR="000815A3">
        <w:rPr>
          <w:rFonts w:ascii="Century" w:eastAsiaTheme="minorEastAsia" w:hAnsi="Century"/>
          <w:sz w:val="24"/>
        </w:rPr>
        <w:t xml:space="preserve"> oranı; </w:t>
      </w:r>
      <m:oMath>
        <m:r>
          <w:rPr>
            <w:rFonts w:ascii="Cambria Math" w:eastAsiaTheme="minorEastAsia" w:hAnsi="Cambria Math"/>
            <w:sz w:val="24"/>
          </w:rPr>
          <m:t>λ=(0.5, 1, 2)</m:t>
        </m:r>
      </m:oMath>
      <w:r w:rsidR="000815A3">
        <w:rPr>
          <w:rFonts w:ascii="Century" w:eastAsiaTheme="minorEastAsia" w:hAnsi="Century"/>
          <w:sz w:val="24"/>
        </w:rPr>
        <w:t>,</w:t>
      </w:r>
    </w:p>
    <w:p w:rsidR="00C206BE" w:rsidRDefault="006B038F" w:rsidP="000815A3">
      <w:pPr>
        <w:spacing w:line="360" w:lineRule="auto"/>
        <w:ind w:firstLine="708"/>
        <w:jc w:val="both"/>
        <w:rPr>
          <w:rFonts w:ascii="Century" w:eastAsiaTheme="minorEastAsia" w:hAnsi="Century"/>
          <w:sz w:val="24"/>
        </w:rPr>
      </w:pPr>
      <w:r>
        <w:rPr>
          <w:rFonts w:ascii="Century" w:eastAsiaTheme="minorEastAsia" w:hAnsi="Century"/>
          <w:sz w:val="24"/>
        </w:rPr>
        <w:t>Ölçümsel h</w:t>
      </w:r>
      <w:r w:rsidR="00C206BE">
        <w:rPr>
          <w:rFonts w:ascii="Century" w:eastAsiaTheme="minorEastAsia" w:hAnsi="Century"/>
          <w:sz w:val="24"/>
        </w:rPr>
        <w:t>ata oranı</w:t>
      </w:r>
      <w:r w:rsidR="00212C91">
        <w:rPr>
          <w:rFonts w:ascii="Century" w:eastAsiaTheme="minorEastAsia" w:hAnsi="Century"/>
          <w:sz w:val="24"/>
        </w:rPr>
        <w:t>;</w:t>
      </w:r>
      <w:r w:rsidR="00C206BE">
        <w:rPr>
          <w:rFonts w:ascii="Century" w:eastAsiaTheme="minorEastAsia" w:hAnsi="Century"/>
          <w:sz w:val="24"/>
        </w:rPr>
        <w:t xml:space="preserve"> </w:t>
      </w:r>
      <w:r>
        <w:rPr>
          <w:rFonts w:ascii="Century" w:eastAsiaTheme="minorEastAsia" w:hAnsi="Century"/>
          <w:sz w:val="24"/>
        </w:rPr>
        <w:t>bilinen ve bilinmeyen,</w:t>
      </w:r>
    </w:p>
    <w:p w:rsidR="000815A3" w:rsidRDefault="00212C91" w:rsidP="000815A3">
      <w:pPr>
        <w:spacing w:line="360" w:lineRule="auto"/>
        <w:ind w:firstLine="708"/>
        <w:jc w:val="both"/>
        <w:rPr>
          <w:rFonts w:ascii="Century" w:eastAsiaTheme="minorEastAsia" w:hAnsi="Century"/>
          <w:sz w:val="24"/>
        </w:rPr>
      </w:pPr>
      <w:r>
        <w:rPr>
          <w:rFonts w:ascii="Century" w:eastAsiaTheme="minorEastAsia" w:hAnsi="Century"/>
          <w:sz w:val="24"/>
        </w:rPr>
        <w:t>Etkili gözlem sayısı;</w:t>
      </w:r>
      <w:r w:rsidR="000815A3">
        <w:rPr>
          <w:rFonts w:ascii="Century" w:eastAsiaTheme="minorEastAsia" w:hAnsi="Century"/>
          <w:sz w:val="24"/>
        </w:rPr>
        <w:t xml:space="preserve"> </w:t>
      </w:r>
      <m:oMath>
        <m:r>
          <w:rPr>
            <w:rFonts w:ascii="Cambria Math" w:eastAsiaTheme="minorEastAsia" w:hAnsi="Cambria Math"/>
            <w:sz w:val="24"/>
          </w:rPr>
          <m:t>o = (0, 1)</m:t>
        </m:r>
      </m:oMath>
      <w:r w:rsidR="000815A3">
        <w:rPr>
          <w:rFonts w:ascii="Century" w:eastAsiaTheme="minorEastAsia" w:hAnsi="Century"/>
          <w:sz w:val="24"/>
        </w:rPr>
        <w:t>,</w:t>
      </w:r>
    </w:p>
    <w:p w:rsidR="000815A3" w:rsidRDefault="00212C91" w:rsidP="000815A3">
      <w:pPr>
        <w:spacing w:line="360" w:lineRule="auto"/>
        <w:ind w:firstLine="708"/>
        <w:jc w:val="both"/>
        <w:rPr>
          <w:rFonts w:ascii="Century" w:eastAsiaTheme="minorEastAsia" w:hAnsi="Century"/>
          <w:sz w:val="24"/>
        </w:rPr>
      </w:pPr>
      <w:r>
        <w:rPr>
          <w:rFonts w:ascii="Century" w:eastAsiaTheme="minorEastAsia" w:hAnsi="Century"/>
          <w:sz w:val="24"/>
        </w:rPr>
        <w:t xml:space="preserve">Sabit hata;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=(0, 5)</m:t>
        </m:r>
      </m:oMath>
      <w:r w:rsidR="000815A3">
        <w:rPr>
          <w:rFonts w:ascii="Century" w:eastAsiaTheme="minorEastAsia" w:hAnsi="Century"/>
          <w:sz w:val="24"/>
        </w:rPr>
        <w:t>,</w:t>
      </w:r>
    </w:p>
    <w:p w:rsidR="000815A3" w:rsidRDefault="00212C91" w:rsidP="000815A3">
      <w:pPr>
        <w:spacing w:line="360" w:lineRule="auto"/>
        <w:ind w:firstLine="708"/>
        <w:jc w:val="both"/>
        <w:rPr>
          <w:rFonts w:ascii="Century" w:eastAsiaTheme="minorEastAsia" w:hAnsi="Century"/>
          <w:sz w:val="24"/>
        </w:rPr>
      </w:pPr>
      <w:r>
        <w:rPr>
          <w:rFonts w:ascii="Century" w:eastAsiaTheme="minorEastAsia" w:hAnsi="Century"/>
          <w:sz w:val="24"/>
        </w:rPr>
        <w:t xml:space="preserve">Oransal hata;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 1.2)</m:t>
        </m:r>
      </m:oMath>
      <w:r w:rsidR="000815A3">
        <w:rPr>
          <w:rFonts w:ascii="Century" w:eastAsiaTheme="minorEastAsia" w:hAnsi="Century"/>
          <w:sz w:val="24"/>
        </w:rPr>
        <w:t>.</w:t>
      </w:r>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t>Benzetim amacıyla kullanılan ilk dağılım aralığı oranı senaryosu elektroli</w:t>
      </w:r>
      <w:r w:rsidR="00025CD4">
        <w:rPr>
          <w:rFonts w:ascii="Century" w:eastAsiaTheme="minorEastAsia" w:hAnsi="Century"/>
          <w:sz w:val="24"/>
        </w:rPr>
        <w:t xml:space="preserve">t verisidir. Bu amaçla, (Linnet vd., </w:t>
      </w:r>
      <w:r>
        <w:rPr>
          <w:rFonts w:ascii="Century" w:eastAsiaTheme="minorEastAsia" w:hAnsi="Century"/>
          <w:sz w:val="24"/>
        </w:rPr>
        <w:t xml:space="preserve">1998) çalışmasında kullandığı elektrolit benzetim verisinin dağılım parametrelerinden faydalanılmıştır. </w:t>
      </w:r>
      <w:r w:rsidR="00241F81">
        <w:rPr>
          <w:rFonts w:ascii="Century" w:eastAsiaTheme="minorEastAsia" w:hAnsi="Century"/>
          <w:sz w:val="24"/>
        </w:rPr>
        <w:t>(Linnet vd., 1998)</w:t>
      </w:r>
      <w:r>
        <w:rPr>
          <w:rFonts w:ascii="Century" w:eastAsiaTheme="minorEastAsia" w:hAnsi="Century"/>
          <w:sz w:val="24"/>
        </w:rPr>
        <w:t>, çalışma</w:t>
      </w:r>
      <w:r w:rsidR="00241F81">
        <w:rPr>
          <w:rFonts w:ascii="Century" w:eastAsiaTheme="minorEastAsia" w:hAnsi="Century"/>
          <w:sz w:val="24"/>
        </w:rPr>
        <w:t>lar</w:t>
      </w:r>
      <w:r>
        <w:rPr>
          <w:rFonts w:ascii="Century" w:eastAsiaTheme="minorEastAsia" w:hAnsi="Century"/>
          <w:sz w:val="24"/>
        </w:rPr>
        <w:t xml:space="preserve">ında </w:t>
      </w:r>
      <m:oMath>
        <m:r>
          <w:rPr>
            <w:rFonts w:ascii="Cambria Math" w:eastAsiaTheme="minorEastAsia" w:hAnsi="Cambria Math"/>
            <w:sz w:val="24"/>
          </w:rPr>
          <m:t>X</m:t>
        </m:r>
      </m:oMath>
      <w:r>
        <w:rPr>
          <w:rFonts w:ascii="Century" w:eastAsiaTheme="minorEastAsia" w:hAnsi="Century"/>
          <w:sz w:val="24"/>
        </w:rPr>
        <w:t xml:space="preserve"> yönteminin gerçek değerlerini, normal dağılım altında ve ortalaması 140.5 </w:t>
      </w:r>
      <w:r w:rsidRPr="00C22A1B">
        <w:rPr>
          <w:rFonts w:ascii="Century" w:eastAsiaTheme="minorEastAsia" w:hAnsi="Century"/>
          <w:sz w:val="24"/>
        </w:rPr>
        <w:t>mmol/L</w:t>
      </w:r>
      <w:r>
        <w:rPr>
          <w:rFonts w:ascii="Century" w:eastAsiaTheme="minorEastAsia" w:hAnsi="Century"/>
          <w:sz w:val="24"/>
        </w:rPr>
        <w:t xml:space="preserve">, standart sapması ise </w:t>
      </w:r>
      <w:r w:rsidRPr="00C22A1B">
        <w:rPr>
          <w:rFonts w:ascii="Century" w:eastAsiaTheme="minorEastAsia" w:hAnsi="Century"/>
          <w:sz w:val="24"/>
        </w:rPr>
        <w:t>3.8 mmol/L</w:t>
      </w:r>
      <w:r>
        <w:rPr>
          <w:rFonts w:ascii="Century" w:eastAsiaTheme="minorEastAsia" w:hAnsi="Century"/>
          <w:sz w:val="24"/>
        </w:rPr>
        <w:t xml:space="preserve"> olarak türetmiştir. </w:t>
      </w:r>
      <w:r w:rsidR="00241F81">
        <w:rPr>
          <w:rFonts w:ascii="Century" w:eastAsiaTheme="minorEastAsia" w:hAnsi="Century"/>
          <w:sz w:val="24"/>
        </w:rPr>
        <w:t xml:space="preserve">(Linnet vd., 1998) </w:t>
      </w:r>
      <w:r>
        <w:rPr>
          <w:rFonts w:ascii="Century" w:eastAsiaTheme="minorEastAsia" w:hAnsi="Century"/>
          <w:sz w:val="24"/>
        </w:rPr>
        <w:t xml:space="preserve">yöntemlerin en küçük ve en büyük değerlerinin ortalamadan yaklaşık 2.5 standart sapma uzaklığında olduğunu varsaymıştır. Dolayısıyla bu veri için dağılım aralığı oranı 1.145 olarak elde edilmiş ve dağılım aralığı dar veri senaryosu olarak elektrolit verisi kullanılmıştır. Yöntemlerin analitik </w:t>
      </w:r>
      <w:r w:rsidR="002A3294">
        <w:rPr>
          <w:rFonts w:ascii="Century" w:eastAsiaTheme="minorEastAsia" w:hAnsi="Century"/>
          <w:sz w:val="24"/>
        </w:rPr>
        <w:t>standart sapmaları</w:t>
      </w:r>
      <w:r>
        <w:rPr>
          <w:rFonts w:ascii="Century" w:eastAsiaTheme="minorEastAsia" w:hAnsi="Century"/>
          <w:sz w:val="24"/>
        </w:rPr>
        <w:t xml:space="preserve"> 1.405 </w:t>
      </w:r>
      <w:r w:rsidRPr="00C22A1B">
        <w:rPr>
          <w:rFonts w:ascii="Century" w:eastAsiaTheme="minorEastAsia" w:hAnsi="Century"/>
          <w:sz w:val="24"/>
        </w:rPr>
        <w:t>mmol/L</w:t>
      </w:r>
      <w:r>
        <w:rPr>
          <w:rFonts w:ascii="Century" w:eastAsiaTheme="minorEastAsia" w:hAnsi="Century"/>
          <w:sz w:val="24"/>
        </w:rPr>
        <w:t xml:space="preserve"> ve 2.81</w:t>
      </w:r>
      <w:r w:rsidRPr="00CB677A">
        <w:rPr>
          <w:rFonts w:ascii="Century" w:eastAsiaTheme="minorEastAsia" w:hAnsi="Century"/>
          <w:sz w:val="24"/>
        </w:rPr>
        <w:t xml:space="preserve"> </w:t>
      </w:r>
      <w:r w:rsidRPr="00C22A1B">
        <w:rPr>
          <w:rFonts w:ascii="Century" w:eastAsiaTheme="minorEastAsia" w:hAnsi="Century"/>
          <w:sz w:val="24"/>
        </w:rPr>
        <w:t>mmol/L</w:t>
      </w:r>
      <w:r>
        <w:rPr>
          <w:rFonts w:ascii="Century" w:eastAsiaTheme="minorEastAsia" w:hAnsi="Century"/>
          <w:sz w:val="24"/>
        </w:rPr>
        <w:t xml:space="preserve"> olarak alınmış, bu sayede </w:t>
      </w:r>
      <m:oMath>
        <m:r>
          <w:rPr>
            <w:rFonts w:ascii="Cambria Math" w:eastAsiaTheme="minorEastAsia" w:hAnsi="Cambria Math"/>
            <w:sz w:val="24"/>
          </w:rPr>
          <m:t>λ=(0.5, 1, 2)</m:t>
        </m:r>
      </m:oMath>
      <w:r>
        <w:rPr>
          <w:rFonts w:ascii="Century" w:eastAsiaTheme="minorEastAsia" w:hAnsi="Century"/>
          <w:sz w:val="24"/>
        </w:rPr>
        <w:t xml:space="preserve"> durumu sağlanmıştır. </w:t>
      </w:r>
    </w:p>
    <w:p w:rsidR="000815A3" w:rsidRPr="00352637" w:rsidRDefault="000815A3" w:rsidP="000815A3">
      <w:pPr>
        <w:spacing w:line="360" w:lineRule="auto"/>
        <w:ind w:firstLine="708"/>
        <w:jc w:val="both"/>
        <w:rPr>
          <w:rFonts w:ascii="Century" w:eastAsiaTheme="minorEastAsia" w:hAnsi="Century"/>
          <w:color w:val="FF0000"/>
          <w:sz w:val="24"/>
        </w:rPr>
      </w:pPr>
      <w:r w:rsidRPr="00BB253E">
        <w:rPr>
          <w:rFonts w:ascii="Century" w:eastAsiaTheme="minorEastAsia" w:hAnsi="Century"/>
          <w:sz w:val="24"/>
        </w:rPr>
        <w:t xml:space="preserve">İkinci dağılım senaryosu olarak nörodejeneratif hastalıklarının progresyonunda kullanılan nörogranin belirteci kullanılmıştır. </w:t>
      </w:r>
      <w:r w:rsidR="003575A4">
        <w:rPr>
          <w:rFonts w:ascii="Century" w:eastAsiaTheme="minorEastAsia" w:hAnsi="Century"/>
          <w:sz w:val="24"/>
        </w:rPr>
        <w:t>(</w:t>
      </w:r>
      <w:r w:rsidRPr="00BB253E">
        <w:rPr>
          <w:rFonts w:ascii="Century" w:eastAsiaTheme="minorEastAsia" w:hAnsi="Century"/>
          <w:sz w:val="24"/>
        </w:rPr>
        <w:t xml:space="preserve">Willemse </w:t>
      </w:r>
      <w:r w:rsidR="003575A4">
        <w:rPr>
          <w:rFonts w:ascii="Century" w:eastAsiaTheme="minorEastAsia" w:hAnsi="Century"/>
          <w:sz w:val="24"/>
        </w:rPr>
        <w:t xml:space="preserve">vd., </w:t>
      </w:r>
      <w:r w:rsidRPr="00BB253E">
        <w:rPr>
          <w:rFonts w:ascii="Century" w:eastAsiaTheme="minorEastAsia" w:hAnsi="Century"/>
          <w:sz w:val="24"/>
        </w:rPr>
        <w:t>2018) çalışma</w:t>
      </w:r>
      <w:r w:rsidR="00B77CF2">
        <w:rPr>
          <w:rFonts w:ascii="Century" w:eastAsiaTheme="minorEastAsia" w:hAnsi="Century"/>
          <w:sz w:val="24"/>
        </w:rPr>
        <w:t>lar</w:t>
      </w:r>
      <w:r w:rsidRPr="00BB253E">
        <w:rPr>
          <w:rFonts w:ascii="Century" w:eastAsiaTheme="minorEastAsia" w:hAnsi="Century"/>
          <w:sz w:val="24"/>
        </w:rPr>
        <w:t xml:space="preserve">ında bahsettiği örneklerden biri kullanılarak nörogranin dağılım aralığı 1000-4000 pg/mL olarak belirlenmiştir. Buna göre ortalama ve standart sapma parametreleri sırasıyla 2500 pg/mL ve 600 pg/mL dikkate alınmıştır. Bu veri için dağılım aralığı oranı 4 olarak belirlenmiş ve dağılım aralığı orta büyüklükte veri senaryosu olarak nörogranin verisi kullanılmıştır. Analitik </w:t>
      </w:r>
      <w:r w:rsidR="002A3294">
        <w:rPr>
          <w:rFonts w:ascii="Century" w:eastAsiaTheme="minorEastAsia" w:hAnsi="Century"/>
          <w:sz w:val="24"/>
        </w:rPr>
        <w:lastRenderedPageBreak/>
        <w:t>standart sapmalar</w:t>
      </w:r>
      <w:r w:rsidRPr="00BB253E">
        <w:rPr>
          <w:rFonts w:ascii="Century" w:eastAsiaTheme="minorEastAsia" w:hAnsi="Century"/>
          <w:sz w:val="24"/>
        </w:rPr>
        <w:t xml:space="preserve"> yöntemler için 200 pg/mL ve 400 pg/mL olarak seçilm</w:t>
      </w:r>
      <w:r>
        <w:rPr>
          <w:rFonts w:ascii="Century" w:eastAsiaTheme="minorEastAsia" w:hAnsi="Century"/>
          <w:sz w:val="24"/>
        </w:rPr>
        <w:t xml:space="preserve">iş ve </w:t>
      </w:r>
      <w:r w:rsidR="00B377B9">
        <w:rPr>
          <w:rFonts w:ascii="Century" w:eastAsiaTheme="minorEastAsia" w:hAnsi="Century"/>
          <w:sz w:val="24"/>
        </w:rPr>
        <w:br/>
      </w:r>
      <m:oMath>
        <m:r>
          <w:rPr>
            <w:rFonts w:ascii="Cambria Math" w:eastAsiaTheme="minorEastAsia" w:hAnsi="Cambria Math"/>
            <w:sz w:val="24"/>
          </w:rPr>
          <m:t>λ=(0.5, 1, 2)</m:t>
        </m:r>
      </m:oMath>
      <w:r>
        <w:rPr>
          <w:rFonts w:ascii="Century" w:eastAsiaTheme="minorEastAsia" w:hAnsi="Century"/>
          <w:sz w:val="24"/>
        </w:rPr>
        <w:t xml:space="preserve"> durumu sağlanmıştır. </w:t>
      </w:r>
      <w:r w:rsidRPr="00FA3A86">
        <w:rPr>
          <w:rFonts w:ascii="Century" w:eastAsiaTheme="minorEastAsia" w:hAnsi="Century"/>
          <w:sz w:val="24"/>
        </w:rPr>
        <w:t xml:space="preserve">Son dağılım aralığı oranı senaryosu ise </w:t>
      </w:r>
      <w:r w:rsidR="00FF4DBF">
        <w:rPr>
          <w:rFonts w:ascii="Century" w:eastAsiaTheme="minorEastAsia" w:hAnsi="Century"/>
          <w:sz w:val="24"/>
        </w:rPr>
        <w:t xml:space="preserve">(Linnet vd., 1998) </w:t>
      </w:r>
      <w:r>
        <w:rPr>
          <w:rFonts w:ascii="Century" w:eastAsiaTheme="minorEastAsia" w:hAnsi="Century"/>
          <w:sz w:val="24"/>
        </w:rPr>
        <w:t>çalışma</w:t>
      </w:r>
      <w:r w:rsidR="00B77CF2">
        <w:rPr>
          <w:rFonts w:ascii="Century" w:eastAsiaTheme="minorEastAsia" w:hAnsi="Century"/>
          <w:sz w:val="24"/>
        </w:rPr>
        <w:t>lar</w:t>
      </w:r>
      <w:r>
        <w:rPr>
          <w:rFonts w:ascii="Century" w:eastAsiaTheme="minorEastAsia" w:hAnsi="Century"/>
          <w:sz w:val="24"/>
        </w:rPr>
        <w:t xml:space="preserve">ında kullandığı glukoz benzetim verisidir. </w:t>
      </w:r>
      <w:r w:rsidR="00B53A02">
        <w:rPr>
          <w:rFonts w:ascii="Century" w:eastAsiaTheme="minorEastAsia" w:hAnsi="Century"/>
          <w:sz w:val="24"/>
        </w:rPr>
        <w:t>(Linnet vd., 1998)</w:t>
      </w:r>
      <w:r>
        <w:rPr>
          <w:rFonts w:ascii="Century" w:eastAsiaTheme="minorEastAsia" w:hAnsi="Century"/>
          <w:sz w:val="24"/>
        </w:rPr>
        <w:t>, çalışma</w:t>
      </w:r>
      <w:r w:rsidR="00B53A02">
        <w:rPr>
          <w:rFonts w:ascii="Century" w:eastAsiaTheme="minorEastAsia" w:hAnsi="Century"/>
          <w:sz w:val="24"/>
        </w:rPr>
        <w:t>lar</w:t>
      </w:r>
      <w:r>
        <w:rPr>
          <w:rFonts w:ascii="Century" w:eastAsiaTheme="minorEastAsia" w:hAnsi="Century"/>
          <w:sz w:val="24"/>
        </w:rPr>
        <w:t xml:space="preserve">ında hastaların serum glukoz değerlerinin yaklaşık olarak 2.5 </w:t>
      </w:r>
      <w:r w:rsidRPr="00FB7E78">
        <w:rPr>
          <w:rFonts w:ascii="Century" w:eastAsiaTheme="minorEastAsia" w:hAnsi="Century"/>
          <w:sz w:val="24"/>
        </w:rPr>
        <w:t>mmol/L</w:t>
      </w:r>
      <w:r>
        <w:rPr>
          <w:rFonts w:ascii="Century" w:eastAsiaTheme="minorEastAsia" w:hAnsi="Century"/>
          <w:sz w:val="24"/>
        </w:rPr>
        <w:t xml:space="preserve"> ile 20 </w:t>
      </w:r>
      <w:r w:rsidRPr="00FB7E78">
        <w:rPr>
          <w:rFonts w:ascii="Century" w:eastAsiaTheme="minorEastAsia" w:hAnsi="Century"/>
          <w:sz w:val="24"/>
        </w:rPr>
        <w:t>mmol/L</w:t>
      </w:r>
      <w:r>
        <w:rPr>
          <w:rFonts w:ascii="Century" w:eastAsiaTheme="minorEastAsia" w:hAnsi="Century"/>
          <w:sz w:val="24"/>
        </w:rPr>
        <w:t xml:space="preserve"> arasında değiştiğini ve glukoz düzeylerinin pozitif çarpık bir dağılıma sahip olduğunu belirtmiştir. Verinin normal dağılım varsayımı altında ortalaması 11.25 </w:t>
      </w:r>
      <w:r w:rsidRPr="00FB7E78">
        <w:rPr>
          <w:rFonts w:ascii="Century" w:eastAsiaTheme="minorEastAsia" w:hAnsi="Century"/>
          <w:sz w:val="24"/>
        </w:rPr>
        <w:t>mmol/L</w:t>
      </w:r>
      <w:r>
        <w:rPr>
          <w:rFonts w:ascii="Century" w:eastAsiaTheme="minorEastAsia" w:hAnsi="Century"/>
          <w:sz w:val="24"/>
        </w:rPr>
        <w:t xml:space="preserve">, standart sapması 3.5 </w:t>
      </w:r>
      <w:r w:rsidRPr="00FB7E78">
        <w:rPr>
          <w:rFonts w:ascii="Century" w:eastAsiaTheme="minorEastAsia" w:hAnsi="Century"/>
          <w:sz w:val="24"/>
        </w:rPr>
        <w:t>mmol/L</w:t>
      </w:r>
      <w:r>
        <w:rPr>
          <w:rFonts w:ascii="Century" w:eastAsiaTheme="minorEastAsia" w:hAnsi="Century"/>
          <w:sz w:val="24"/>
        </w:rPr>
        <w:t xml:space="preserve"> olarak alınmış, yöntemlerin analitik </w:t>
      </w:r>
      <w:r w:rsidR="00B377B9">
        <w:rPr>
          <w:rFonts w:ascii="Century" w:eastAsiaTheme="minorEastAsia" w:hAnsi="Century"/>
          <w:sz w:val="24"/>
        </w:rPr>
        <w:t>standart sapmaları</w:t>
      </w:r>
      <w:r>
        <w:rPr>
          <w:rFonts w:ascii="Century" w:eastAsiaTheme="minorEastAsia" w:hAnsi="Century"/>
          <w:sz w:val="24"/>
        </w:rPr>
        <w:t xml:space="preserve"> ise 0.45 </w:t>
      </w:r>
      <w:r w:rsidRPr="00FB7E78">
        <w:rPr>
          <w:rFonts w:ascii="Century" w:eastAsiaTheme="minorEastAsia" w:hAnsi="Century"/>
          <w:sz w:val="24"/>
        </w:rPr>
        <w:t>mmol/L</w:t>
      </w:r>
      <w:r>
        <w:rPr>
          <w:rFonts w:ascii="Century" w:eastAsiaTheme="minorEastAsia" w:hAnsi="Century"/>
          <w:sz w:val="24"/>
        </w:rPr>
        <w:t xml:space="preserve"> ve 0.90 </w:t>
      </w:r>
      <w:r w:rsidRPr="00FB7E78">
        <w:rPr>
          <w:rFonts w:ascii="Century" w:eastAsiaTheme="minorEastAsia" w:hAnsi="Century"/>
          <w:sz w:val="24"/>
        </w:rPr>
        <w:t>mmol/L</w:t>
      </w:r>
      <w:r>
        <w:rPr>
          <w:rFonts w:ascii="Century" w:eastAsiaTheme="minorEastAsia" w:hAnsi="Century"/>
          <w:sz w:val="24"/>
        </w:rPr>
        <w:t xml:space="preserve"> kullanılarak </w:t>
      </w:r>
      <m:oMath>
        <m:r>
          <w:rPr>
            <w:rFonts w:ascii="Cambria Math" w:eastAsiaTheme="minorEastAsia" w:hAnsi="Cambria Math"/>
            <w:sz w:val="24"/>
          </w:rPr>
          <m:t>λ=(0.5, 1, 2)</m:t>
        </m:r>
      </m:oMath>
      <w:r>
        <w:rPr>
          <w:rFonts w:ascii="Century" w:eastAsiaTheme="minorEastAsia" w:hAnsi="Century"/>
          <w:sz w:val="24"/>
        </w:rPr>
        <w:t xml:space="preserve"> durumu sağlanmıştır.</w:t>
      </w:r>
      <w:r w:rsidRPr="000D50BC">
        <w:rPr>
          <w:rFonts w:ascii="Century" w:eastAsiaTheme="minorEastAsia" w:hAnsi="Century"/>
          <w:color w:val="FF0000"/>
          <w:sz w:val="24"/>
        </w:rPr>
        <w:t xml:space="preserve"> </w:t>
      </w:r>
      <w:r w:rsidRPr="004650BD">
        <w:rPr>
          <w:rFonts w:ascii="Century" w:eastAsiaTheme="minorEastAsia" w:hAnsi="Century"/>
          <w:sz w:val="24"/>
        </w:rPr>
        <w:t>Bu veri için dağılım aralığı oranı 8 olarak elde edilmiş ve dağılım aralığı geniş veri senaryosu olarak glukoz verisi kullanılmıştır.</w:t>
      </w:r>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t xml:space="preserve">Öncelikle ilgilenilen veri dağılımı senaryosuna göre gerçek </w:t>
      </w:r>
      <w:r w:rsidRPr="00AF5EFF">
        <w:rPr>
          <w:rFonts w:ascii="Century" w:eastAsiaTheme="minorEastAsia" w:hAnsi="Century"/>
          <w:i/>
          <w:sz w:val="24"/>
        </w:rPr>
        <w:t>X</w:t>
      </w:r>
      <w:r>
        <w:rPr>
          <w:rFonts w:ascii="Century" w:eastAsiaTheme="minorEastAsia" w:hAnsi="Century"/>
          <w:sz w:val="24"/>
        </w:rPr>
        <w:t xml:space="preserve"> değerleri türetilmiştir. Bu amaçla yukarıda belirtilen dağılım için ilgili parametrelerden faydalanılarak </w:t>
      </w:r>
      <w:r w:rsidRPr="00BE64B2">
        <w:rPr>
          <w:rFonts w:ascii="Century" w:eastAsiaTheme="minorEastAsia" w:hAnsi="Century"/>
          <w:i/>
          <w:sz w:val="24"/>
        </w:rPr>
        <w:t>n</w:t>
      </w:r>
      <w:r>
        <w:rPr>
          <w:rFonts w:ascii="Century" w:eastAsiaTheme="minorEastAsia" w:hAnsi="Century"/>
          <w:sz w:val="24"/>
        </w:rPr>
        <w:t xml:space="preserve"> büyüklüğünde bir veri türetilmiştir. Gerçek </w:t>
      </w:r>
      <m:oMath>
        <m:r>
          <w:rPr>
            <w:rFonts w:ascii="Cambria Math" w:eastAsiaTheme="minorEastAsia" w:hAnsi="Cambria Math"/>
            <w:sz w:val="24"/>
          </w:rPr>
          <m:t>X</m:t>
        </m:r>
      </m:oMath>
      <w:r>
        <w:rPr>
          <w:rFonts w:ascii="Century" w:eastAsiaTheme="minorEastAsia" w:hAnsi="Century"/>
          <w:sz w:val="24"/>
        </w:rPr>
        <w:t xml:space="preserve"> değerleri ile birlikte ilgili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oMath>
      <w:r>
        <w:rPr>
          <w:rFonts w:ascii="Century" w:eastAsiaTheme="minorEastAsia" w:hAnsi="Century"/>
          <w:sz w:val="24"/>
        </w:rPr>
        <w:t xml:space="preserve"> ve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oMath>
      <w:r>
        <w:rPr>
          <w:rFonts w:ascii="Century" w:eastAsiaTheme="minorEastAsia" w:hAnsi="Century"/>
          <w:sz w:val="24"/>
        </w:rPr>
        <w:t xml:space="preserve"> parametreleri kullanılarak gerçek </w:t>
      </w:r>
      <m:oMath>
        <m:r>
          <w:rPr>
            <w:rFonts w:ascii="Cambria Math" w:eastAsiaTheme="minorEastAsia" w:hAnsi="Cambria Math"/>
            <w:sz w:val="24"/>
          </w:rPr>
          <m:t>Y</m:t>
        </m:r>
      </m:oMath>
      <w:r>
        <w:rPr>
          <w:rFonts w:ascii="Century" w:eastAsiaTheme="minorEastAsia" w:hAnsi="Century"/>
          <w:sz w:val="24"/>
        </w:rPr>
        <w:t xml:space="preserve"> değerleri elde edilmiştir:</w:t>
      </w:r>
    </w:p>
    <w:p w:rsidR="000815A3" w:rsidRDefault="00E63553" w:rsidP="000815A3">
      <w:pPr>
        <w:spacing w:line="360" w:lineRule="auto"/>
        <w:ind w:firstLine="708"/>
        <w:jc w:val="both"/>
        <w:rPr>
          <w:rFonts w:ascii="Century" w:eastAsiaTheme="minorEastAsia" w:hAnsi="Century"/>
          <w:sz w:val="24"/>
        </w:rPr>
      </w:pPr>
      <m:oMathPara>
        <m:oMath>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oMath>
      </m:oMathPara>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t xml:space="preserve"> Sonrasında, gerçek </w:t>
      </w:r>
      <m:oMath>
        <m:r>
          <w:rPr>
            <w:rFonts w:ascii="Cambria Math" w:eastAsiaTheme="minorEastAsia" w:hAnsi="Cambria Math"/>
            <w:sz w:val="24"/>
          </w:rPr>
          <m:t>X</m:t>
        </m:r>
      </m:oMath>
      <w:r>
        <w:rPr>
          <w:rFonts w:ascii="Century" w:eastAsiaTheme="minorEastAsia" w:hAnsi="Century"/>
          <w:sz w:val="24"/>
        </w:rPr>
        <w:t xml:space="preserve"> değerlerine rasgele hata eklenerek bu yöntemin ölçüm değerleri </w:t>
      </w:r>
      <m:oMath>
        <m:r>
          <w:rPr>
            <w:rFonts w:ascii="Cambria Math" w:eastAsiaTheme="minorEastAsia" w:hAnsi="Cambria Math"/>
            <w:sz w:val="24"/>
          </w:rPr>
          <m:t>x</m:t>
        </m:r>
      </m:oMath>
      <w:r>
        <w:rPr>
          <w:rFonts w:ascii="Century" w:eastAsiaTheme="minorEastAsia" w:hAnsi="Century"/>
          <w:sz w:val="24"/>
        </w:rPr>
        <w:t xml:space="preserve"> elde edilmiştir. Rasgele hata ortalaması 0, analitik varyansı </w:t>
      </w:r>
      <m:oMath>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oMath>
      <w:r>
        <w:rPr>
          <w:rFonts w:ascii="Century" w:eastAsiaTheme="minorEastAsia" w:hAnsi="Century"/>
          <w:sz w:val="24"/>
        </w:rPr>
        <w:t xml:space="preserve"> olacak şekilde normal dağılım altında türetilmiştir:</w:t>
      </w:r>
    </w:p>
    <w:p w:rsidR="000815A3" w:rsidRPr="003D6EB8" w:rsidRDefault="00E63553" w:rsidP="000815A3">
      <w:pPr>
        <w:spacing w:line="360" w:lineRule="auto"/>
        <w:ind w:firstLine="708"/>
        <w:jc w:val="both"/>
        <w:rPr>
          <w:rFonts w:ascii="Century" w:eastAsiaTheme="minorEastAsia" w:hAnsi="Century"/>
          <w:sz w:val="24"/>
        </w:rPr>
      </w:pPr>
      <m:oMathPara>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xi</m:t>
              </m:r>
            </m:sub>
          </m:sSub>
        </m:oMath>
      </m:oMathPara>
    </w:p>
    <w:p w:rsidR="000815A3" w:rsidRDefault="000815A3" w:rsidP="000815A3">
      <w:pPr>
        <w:spacing w:line="360" w:lineRule="auto"/>
        <w:ind w:firstLine="708"/>
        <w:jc w:val="both"/>
        <w:rPr>
          <w:rFonts w:ascii="Century" w:eastAsiaTheme="minorEastAsia" w:hAnsi="Century"/>
          <w:sz w:val="24"/>
        </w:rPr>
      </w:pPr>
      <m:oMathPara>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ε</m:t>
              </m:r>
            </m:e>
            <m: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sub>
          </m:sSub>
          <m:r>
            <w:rPr>
              <w:rFonts w:ascii="Cambria Math" w:eastAsiaTheme="minorEastAsia" w:hAnsi="Cambria Math"/>
              <w:sz w:val="24"/>
            </w:rPr>
            <m:t xml:space="preserve">~N(0, </m:t>
          </m:r>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r>
            <w:rPr>
              <w:rFonts w:ascii="Cambria Math" w:eastAsiaTheme="minorEastAsia" w:hAnsi="Cambria Math"/>
              <w:sz w:val="24"/>
            </w:rPr>
            <m:t xml:space="preserve">)  </m:t>
          </m:r>
        </m:oMath>
      </m:oMathPara>
    </w:p>
    <w:p w:rsidR="003757AC" w:rsidRDefault="003757AC" w:rsidP="000815A3">
      <w:pPr>
        <w:spacing w:line="360" w:lineRule="auto"/>
        <w:jc w:val="both"/>
        <w:rPr>
          <w:rFonts w:ascii="Century" w:eastAsiaTheme="minorEastAsia" w:hAnsi="Century"/>
          <w:sz w:val="24"/>
        </w:rPr>
      </w:pPr>
      <w:r>
        <w:rPr>
          <w:rFonts w:ascii="Century" w:eastAsiaTheme="minorEastAsia" w:hAnsi="Century"/>
          <w:sz w:val="24"/>
        </w:rPr>
        <w:t xml:space="preserve">Benzer şekilde, gerçek </w:t>
      </w:r>
      <m:oMath>
        <m:r>
          <w:rPr>
            <w:rFonts w:ascii="Cambria Math" w:eastAsiaTheme="minorEastAsia" w:hAnsi="Cambria Math"/>
            <w:sz w:val="24"/>
          </w:rPr>
          <m:t>Y</m:t>
        </m:r>
      </m:oMath>
      <w:r>
        <w:rPr>
          <w:rFonts w:ascii="Century" w:eastAsiaTheme="minorEastAsia" w:hAnsi="Century"/>
          <w:sz w:val="24"/>
        </w:rPr>
        <w:t xml:space="preserve"> değerlerine rasgele hata eklenerek bu yöntemin ölçüm değerleri </w:t>
      </w:r>
      <m:oMath>
        <m:r>
          <w:rPr>
            <w:rFonts w:ascii="Cambria Math" w:eastAsiaTheme="minorEastAsia" w:hAnsi="Cambria Math"/>
            <w:sz w:val="24"/>
          </w:rPr>
          <m:t>y</m:t>
        </m:r>
      </m:oMath>
      <w:r>
        <w:rPr>
          <w:rFonts w:ascii="Century" w:eastAsiaTheme="minorEastAsia" w:hAnsi="Century"/>
          <w:sz w:val="24"/>
        </w:rPr>
        <w:t xml:space="preserve"> elde edilmiştir. Rasgele hata ortalaması 0, analitik varyansı </w:t>
      </w:r>
      <m:oMath>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oMath>
      <w:r>
        <w:rPr>
          <w:rFonts w:ascii="Century" w:eastAsiaTheme="minorEastAsia" w:hAnsi="Century"/>
          <w:sz w:val="24"/>
        </w:rPr>
        <w:t xml:space="preserve"> olacak şekilde normal dağılım altında türetilmiştir:</w:t>
      </w:r>
    </w:p>
    <w:p w:rsidR="003757AC" w:rsidRPr="003D6EB8" w:rsidRDefault="00E63553" w:rsidP="003757AC">
      <w:pPr>
        <w:spacing w:line="360" w:lineRule="auto"/>
        <w:ind w:firstLine="708"/>
        <w:jc w:val="both"/>
        <w:rPr>
          <w:rFonts w:ascii="Century" w:eastAsiaTheme="minorEastAsia" w:hAnsi="Century"/>
          <w:sz w:val="24"/>
        </w:rPr>
      </w:pPr>
      <m:oMathPara>
        <m:oMath>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ε</m:t>
              </m:r>
            </m:e>
            <m:sub>
              <m:r>
                <w:rPr>
                  <w:rFonts w:ascii="Cambria Math" w:eastAsiaTheme="minorEastAsia" w:hAnsi="Cambria Math"/>
                  <w:sz w:val="24"/>
                </w:rPr>
                <m:t>yi</m:t>
              </m:r>
            </m:sub>
          </m:sSub>
        </m:oMath>
      </m:oMathPara>
    </w:p>
    <w:p w:rsidR="003757AC" w:rsidRDefault="003757AC" w:rsidP="003757AC">
      <w:pPr>
        <w:spacing w:line="360" w:lineRule="auto"/>
        <w:ind w:firstLine="708"/>
        <w:jc w:val="both"/>
        <w:rPr>
          <w:rFonts w:ascii="Century" w:eastAsiaTheme="minorEastAsia" w:hAnsi="Century"/>
          <w:sz w:val="24"/>
        </w:rPr>
      </w:pPr>
      <m:oMathPara>
        <m:oMath>
          <m:r>
            <w:rPr>
              <w:rFonts w:ascii="Cambria Math" w:eastAsiaTheme="minorEastAsia" w:hAnsi="Cambria Math"/>
              <w:sz w:val="24"/>
            </w:rPr>
            <m:t xml:space="preserve"> </m:t>
          </m:r>
          <m:sSub>
            <m:sSubPr>
              <m:ctrlPr>
                <w:rPr>
                  <w:rFonts w:ascii="Cambria Math" w:eastAsiaTheme="minorEastAsia" w:hAnsi="Cambria Math"/>
                  <w:i/>
                  <w:sz w:val="24"/>
                </w:rPr>
              </m:ctrlPr>
            </m:sSubPr>
            <m:e>
              <m:r>
                <w:rPr>
                  <w:rFonts w:ascii="Cambria Math" w:eastAsiaTheme="minorEastAsia" w:hAnsi="Cambria Math"/>
                  <w:sz w:val="24"/>
                </w:rPr>
                <m:t>ε</m:t>
              </m:r>
            </m:e>
            <m:sub>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sub>
          </m:sSub>
          <m:r>
            <w:rPr>
              <w:rFonts w:ascii="Cambria Math" w:eastAsiaTheme="minorEastAsia" w:hAnsi="Cambria Math"/>
              <w:sz w:val="24"/>
            </w:rPr>
            <m:t xml:space="preserve">~N(0, </m:t>
          </m:r>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r>
            <w:rPr>
              <w:rFonts w:ascii="Cambria Math" w:eastAsiaTheme="minorEastAsia" w:hAnsi="Cambria Math"/>
              <w:sz w:val="24"/>
            </w:rPr>
            <m:t xml:space="preserve">)  </m:t>
          </m:r>
        </m:oMath>
      </m:oMathPara>
    </w:p>
    <w:p w:rsidR="003757AC" w:rsidRDefault="003757AC" w:rsidP="000815A3">
      <w:pPr>
        <w:spacing w:line="360" w:lineRule="auto"/>
        <w:jc w:val="both"/>
        <w:rPr>
          <w:rFonts w:ascii="Century" w:eastAsiaTheme="minorEastAsia" w:hAnsi="Century"/>
          <w:sz w:val="24"/>
        </w:rPr>
      </w:pPr>
    </w:p>
    <w:p w:rsidR="001B6EF7" w:rsidRDefault="000815A3" w:rsidP="001B6EF7">
      <w:pPr>
        <w:spacing w:line="360" w:lineRule="auto"/>
        <w:jc w:val="both"/>
        <w:rPr>
          <w:rFonts w:ascii="Century" w:eastAsiaTheme="minorEastAsia" w:hAnsi="Century"/>
          <w:sz w:val="24"/>
        </w:rPr>
      </w:pPr>
      <w:r>
        <w:rPr>
          <w:rFonts w:ascii="Century" w:eastAsiaTheme="minorEastAsia" w:hAnsi="Century"/>
          <w:sz w:val="24"/>
        </w:rPr>
        <w:lastRenderedPageBreak/>
        <w:t>Analitik varyans</w:t>
      </w:r>
      <w:r w:rsidR="003757AC">
        <w:rPr>
          <w:rFonts w:ascii="Century" w:eastAsiaTheme="minorEastAsia" w:hAnsi="Century"/>
          <w:sz w:val="24"/>
        </w:rPr>
        <w:t>lar</w:t>
      </w:r>
      <w:r>
        <w:rPr>
          <w:rFonts w:ascii="Century" w:eastAsiaTheme="minorEastAsia" w:hAnsi="Century"/>
          <w:sz w:val="24"/>
        </w:rPr>
        <w:t>ın ne seçildiği her veri dağılımı senaryosu altında ayrıca belirtilmiştir.</w:t>
      </w:r>
      <w:r w:rsidR="001B6EF7">
        <w:rPr>
          <w:rFonts w:ascii="Century" w:eastAsiaTheme="minorEastAsia" w:hAnsi="Century"/>
          <w:sz w:val="24"/>
        </w:rPr>
        <w:t xml:space="preserve"> </w:t>
      </w:r>
      <w:r w:rsidR="004359F7">
        <w:rPr>
          <w:rFonts w:ascii="Century" w:eastAsiaTheme="minorEastAsia" w:hAnsi="Century"/>
          <w:sz w:val="24"/>
        </w:rPr>
        <w:t>DR regresyon yöntemi için a</w:t>
      </w:r>
      <w:r w:rsidR="001B6EF7">
        <w:rPr>
          <w:rFonts w:ascii="Century" w:eastAsiaTheme="minorEastAsia" w:hAnsi="Century"/>
          <w:sz w:val="24"/>
        </w:rPr>
        <w:t xml:space="preserve">nalitik </w:t>
      </w:r>
      <w:r w:rsidR="004359F7">
        <w:rPr>
          <w:rFonts w:ascii="Century" w:eastAsiaTheme="minorEastAsia" w:hAnsi="Century"/>
          <w:sz w:val="24"/>
        </w:rPr>
        <w:t>standart sapmaların</w:t>
      </w:r>
      <w:r w:rsidR="001B6EF7">
        <w:rPr>
          <w:rFonts w:ascii="Century" w:eastAsiaTheme="minorEastAsia" w:hAnsi="Century"/>
          <w:sz w:val="24"/>
        </w:rPr>
        <w:t xml:space="preserve"> oranı, (Linnet vd., 1998) çalışmalarında gerçekleştirdiği gibi </w:t>
      </w:r>
      <m:oMath>
        <m:r>
          <w:rPr>
            <w:rFonts w:ascii="Cambria Math" w:eastAsiaTheme="minorEastAsia" w:hAnsi="Cambria Math"/>
            <w:sz w:val="24"/>
          </w:rPr>
          <m:t>λ=(0.5, 1, 2)</m:t>
        </m:r>
      </m:oMath>
      <w:r w:rsidR="001B6EF7">
        <w:rPr>
          <w:rFonts w:ascii="Century" w:eastAsiaTheme="minorEastAsia" w:hAnsi="Century"/>
          <w:sz w:val="24"/>
        </w:rPr>
        <w:t xml:space="preserve"> olacak şekilde seçilmiştir. Örneğin elektrolit veri dağılımı senaryosu için yöntemlerin analitik </w:t>
      </w:r>
      <w:r w:rsidR="004359F7">
        <w:rPr>
          <w:rFonts w:ascii="Century" w:eastAsiaTheme="minorEastAsia" w:hAnsi="Century"/>
          <w:sz w:val="24"/>
        </w:rPr>
        <w:t>standart sapmaları</w:t>
      </w:r>
      <w:r w:rsidR="001B6EF7">
        <w:rPr>
          <w:rFonts w:ascii="Century" w:eastAsiaTheme="minorEastAsia" w:hAnsi="Century"/>
          <w:sz w:val="24"/>
        </w:rPr>
        <w:t xml:space="preserve"> 1.405 ve 2.81 olarak alınmıştır. Yani, </w:t>
      </w:r>
      <m:oMath>
        <m:r>
          <w:rPr>
            <w:rFonts w:ascii="Cambria Math" w:eastAsiaTheme="minorEastAsia" w:hAnsi="Cambria Math"/>
            <w:sz w:val="24"/>
          </w:rPr>
          <m:t>λ=0.5</m:t>
        </m:r>
      </m:oMath>
      <w:r w:rsidR="001B6EF7">
        <w:rPr>
          <w:rFonts w:ascii="Century" w:eastAsiaTheme="minorEastAsia" w:hAnsi="Century"/>
          <w:sz w:val="24"/>
        </w:rPr>
        <w:t xml:space="preserve"> için </w:t>
      </w:r>
      <w:r w:rsidR="004359F7">
        <w:rPr>
          <w:rFonts w:ascii="Century" w:eastAsiaTheme="minorEastAsia" w:hAnsi="Century"/>
          <w:sz w:val="24"/>
        </w:rPr>
        <w:br/>
      </w:r>
      <m:oMath>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r>
          <w:rPr>
            <w:rFonts w:ascii="Cambria Math" w:eastAsiaTheme="minorEastAsia" w:hAnsi="Cambria Math"/>
            <w:sz w:val="24"/>
          </w:rPr>
          <m:t xml:space="preserve">=1.405, </m:t>
        </m:r>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r>
          <w:rPr>
            <w:rFonts w:ascii="Cambria Math" w:eastAsiaTheme="minorEastAsia" w:hAnsi="Cambria Math"/>
            <w:sz w:val="24"/>
          </w:rPr>
          <m:t>=2.81</m:t>
        </m:r>
      </m:oMath>
      <w:r w:rsidR="001B6EF7">
        <w:rPr>
          <w:rFonts w:ascii="Century" w:eastAsiaTheme="minorEastAsia" w:hAnsi="Century"/>
          <w:sz w:val="24"/>
        </w:rPr>
        <w:t xml:space="preserve">; </w:t>
      </w:r>
      <m:oMath>
        <m:r>
          <w:rPr>
            <w:rFonts w:ascii="Cambria Math" w:eastAsiaTheme="minorEastAsia" w:hAnsi="Cambria Math"/>
            <w:sz w:val="24"/>
          </w:rPr>
          <m:t>λ=1</m:t>
        </m:r>
      </m:oMath>
      <w:r w:rsidR="001B6EF7">
        <w:rPr>
          <w:rFonts w:ascii="Century" w:eastAsiaTheme="minorEastAsia" w:hAnsi="Century"/>
          <w:sz w:val="24"/>
        </w:rPr>
        <w:t xml:space="preserve"> için </w:t>
      </w:r>
      <m:oMath>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r>
          <w:rPr>
            <w:rFonts w:ascii="Cambria Math" w:eastAsiaTheme="minorEastAsia" w:hAnsi="Cambria Math"/>
            <w:sz w:val="24"/>
          </w:rPr>
          <m:t xml:space="preserve">=1.405, </m:t>
        </m:r>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r>
          <w:rPr>
            <w:rFonts w:ascii="Cambria Math" w:eastAsiaTheme="minorEastAsia" w:hAnsi="Cambria Math"/>
            <w:sz w:val="24"/>
          </w:rPr>
          <m:t>=1.405</m:t>
        </m:r>
      </m:oMath>
      <w:r w:rsidR="001B6EF7">
        <w:rPr>
          <w:rFonts w:ascii="Century" w:eastAsiaTheme="minorEastAsia" w:hAnsi="Century"/>
          <w:sz w:val="24"/>
        </w:rPr>
        <w:t xml:space="preserve">; </w:t>
      </w:r>
      <m:oMath>
        <m:r>
          <w:rPr>
            <w:rFonts w:ascii="Cambria Math" w:eastAsiaTheme="minorEastAsia" w:hAnsi="Cambria Math"/>
            <w:sz w:val="24"/>
          </w:rPr>
          <m:t>λ=2</m:t>
        </m:r>
      </m:oMath>
      <w:r w:rsidR="001B6EF7">
        <w:rPr>
          <w:rFonts w:ascii="Century" w:eastAsiaTheme="minorEastAsia" w:hAnsi="Century"/>
          <w:sz w:val="24"/>
        </w:rPr>
        <w:t xml:space="preserve"> için ise </w:t>
      </w:r>
      <w:r w:rsidR="00597598">
        <w:rPr>
          <w:rFonts w:ascii="Century" w:eastAsiaTheme="minorEastAsia" w:hAnsi="Century"/>
          <w:sz w:val="24"/>
        </w:rPr>
        <w:br/>
      </w:r>
      <m:oMath>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r>
          <w:rPr>
            <w:rFonts w:ascii="Cambria Math" w:eastAsiaTheme="minorEastAsia" w:hAnsi="Cambria Math"/>
            <w:sz w:val="24"/>
          </w:rPr>
          <m:t xml:space="preserve">=2.81, </m:t>
        </m:r>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r>
          <w:rPr>
            <w:rFonts w:ascii="Cambria Math" w:eastAsiaTheme="minorEastAsia" w:hAnsi="Cambria Math"/>
            <w:sz w:val="24"/>
          </w:rPr>
          <m:t>=1.405</m:t>
        </m:r>
      </m:oMath>
      <w:r w:rsidR="001B6EF7">
        <w:rPr>
          <w:rFonts w:ascii="Century" w:eastAsiaTheme="minorEastAsia" w:hAnsi="Century"/>
          <w:sz w:val="24"/>
        </w:rPr>
        <w:t xml:space="preserve"> belirlenmiştir.</w:t>
      </w:r>
    </w:p>
    <w:p w:rsidR="00FD0C97" w:rsidRPr="00BA73EE" w:rsidRDefault="00FD0C97" w:rsidP="001B6EF7">
      <w:pPr>
        <w:spacing w:line="360" w:lineRule="auto"/>
        <w:jc w:val="both"/>
        <w:rPr>
          <w:rFonts w:ascii="Century" w:eastAsiaTheme="minorEastAsia" w:hAnsi="Century"/>
          <w:sz w:val="24"/>
        </w:rPr>
      </w:pPr>
      <w:r>
        <w:rPr>
          <w:rFonts w:ascii="Century" w:eastAsiaTheme="minorEastAsia" w:hAnsi="Century"/>
          <w:sz w:val="24"/>
        </w:rPr>
        <w:tab/>
        <w:t xml:space="preserve">Ölçümsel hata oranı </w:t>
      </w:r>
      <w:r w:rsidRPr="00BA73EE">
        <w:rPr>
          <w:rFonts w:ascii="Century" w:eastAsiaTheme="minorEastAsia" w:hAnsi="Century"/>
          <w:sz w:val="24"/>
        </w:rPr>
        <w:t xml:space="preserve">bilinen ve bilinmeyen olmak üzere iki durumda ele alınmıştır. </w:t>
      </w:r>
      <w:r w:rsidR="006C08E9" w:rsidRPr="00BA73EE">
        <w:rPr>
          <w:rFonts w:ascii="Century" w:eastAsiaTheme="minorEastAsia" w:hAnsi="Century"/>
          <w:sz w:val="24"/>
        </w:rPr>
        <w:t xml:space="preserve">Bilinen durumda bu hata oranı </w:t>
      </w:r>
      <m:oMath>
        <m:acc>
          <m:accPr>
            <m:ctrlPr>
              <w:rPr>
                <w:rFonts w:ascii="Cambria Math" w:eastAsiaTheme="minorEastAsia" w:hAnsi="Cambria Math"/>
                <w:i/>
                <w:sz w:val="24"/>
                <w:szCs w:val="24"/>
              </w:rPr>
            </m:ctrlPr>
          </m:accPr>
          <m:e>
            <m:r>
              <w:rPr>
                <w:rFonts w:ascii="Cambria Math" w:eastAsiaTheme="minorEastAsia" w:hAnsi="Cambria Math"/>
                <w:sz w:val="24"/>
                <w:szCs w:val="24"/>
              </w:rPr>
              <m:t>λ</m:t>
            </m:r>
          </m:e>
        </m:acc>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ax</m:t>
                </m:r>
              </m:sub>
              <m:sup>
                <m:r>
                  <w:rPr>
                    <w:rFonts w:ascii="Cambria Math" w:eastAsiaTheme="minorEastAsia" w:hAnsi="Cambria Math"/>
                    <w:sz w:val="24"/>
                  </w:rPr>
                  <m:t>2</m:t>
                </m:r>
              </m:sup>
            </m:sSubSup>
          </m:num>
          <m:den>
            <m:sSubSup>
              <m:sSubSupPr>
                <m:ctrlPr>
                  <w:rPr>
                    <w:rFonts w:ascii="Cambria Math" w:eastAsiaTheme="minorEastAsia" w:hAnsi="Cambria Math"/>
                    <w:i/>
                    <w:sz w:val="24"/>
                  </w:rPr>
                </m:ctrlPr>
              </m:sSubSupPr>
              <m:e>
                <m:r>
                  <w:rPr>
                    <w:rFonts w:ascii="Cambria Math" w:eastAsiaTheme="minorEastAsia" w:hAnsi="Cambria Math"/>
                    <w:sz w:val="24"/>
                  </w:rPr>
                  <m:t>σ</m:t>
                </m:r>
              </m:e>
              <m:sub>
                <m:r>
                  <w:rPr>
                    <w:rFonts w:ascii="Cambria Math" w:eastAsiaTheme="minorEastAsia" w:hAnsi="Cambria Math"/>
                    <w:sz w:val="24"/>
                  </w:rPr>
                  <m:t>ay</m:t>
                </m:r>
              </m:sub>
              <m:sup>
                <m:r>
                  <w:rPr>
                    <w:rFonts w:ascii="Cambria Math" w:eastAsiaTheme="minorEastAsia" w:hAnsi="Cambria Math"/>
                    <w:sz w:val="24"/>
                  </w:rPr>
                  <m:t>2</m:t>
                </m:r>
              </m:sup>
            </m:sSubSup>
          </m:den>
        </m:f>
      </m:oMath>
      <w:r w:rsidR="00BA73EE" w:rsidRPr="00BA73EE">
        <w:rPr>
          <w:rFonts w:ascii="Century" w:eastAsiaTheme="minorEastAsia" w:hAnsi="Century"/>
          <w:sz w:val="24"/>
          <w:szCs w:val="24"/>
        </w:rPr>
        <w:t xml:space="preserve"> tahmin edicisi</w:t>
      </w:r>
      <w:r w:rsidR="00BA73EE" w:rsidRPr="00BA73EE">
        <w:rPr>
          <w:rFonts w:ascii="Century" w:eastAsiaTheme="minorEastAsia" w:hAnsi="Century"/>
          <w:sz w:val="24"/>
        </w:rPr>
        <w:t xml:space="preserve"> </w:t>
      </w:r>
      <w:r w:rsidR="00BA73EE">
        <w:rPr>
          <w:rFonts w:ascii="Century" w:eastAsiaTheme="minorEastAsia" w:hAnsi="Century"/>
          <w:sz w:val="24"/>
        </w:rPr>
        <w:t>ile</w:t>
      </w:r>
      <w:r w:rsidR="006C08E9" w:rsidRPr="00BA73EE">
        <w:rPr>
          <w:rFonts w:ascii="Century" w:eastAsiaTheme="minorEastAsia" w:hAnsi="Century"/>
          <w:sz w:val="24"/>
        </w:rPr>
        <w:t xml:space="preserve"> </w:t>
      </w:r>
      <w:r w:rsidR="00BA73EE" w:rsidRPr="00BA73EE">
        <w:rPr>
          <w:rFonts w:ascii="Century" w:eastAsiaTheme="minorEastAsia" w:hAnsi="Century"/>
          <w:sz w:val="24"/>
        </w:rPr>
        <w:t xml:space="preserve">kestirilmiştir. </w:t>
      </w:r>
      <w:r w:rsidR="000B5539">
        <w:rPr>
          <w:rFonts w:ascii="Century" w:eastAsiaTheme="minorEastAsia" w:hAnsi="Century"/>
          <w:sz w:val="24"/>
        </w:rPr>
        <w:t xml:space="preserve">Bilinmeyen durumda bu hata oranı tüm analizler için 1 olarak sabitlenmiştir. </w:t>
      </w:r>
      <w:r w:rsidR="00314E6B">
        <w:rPr>
          <w:rFonts w:ascii="Century" w:eastAsiaTheme="minorEastAsia" w:hAnsi="Century"/>
          <w:sz w:val="24"/>
        </w:rPr>
        <w:t>Bu sayede araştırmacıların ölçümsel hata oranını doğru belirleyemediği durumda yöntemlerin performansının nasıl değiştiği araştırılmıştır.</w:t>
      </w:r>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t xml:space="preserve">Örneklem büyüklüklerinin seçiminde literatürdeki referans çalışmalar dikkate alınmıştır. </w:t>
      </w:r>
      <w:r w:rsidR="00453868">
        <w:rPr>
          <w:rFonts w:ascii="Century" w:hAnsi="Century"/>
          <w:sz w:val="24"/>
          <w:szCs w:val="24"/>
        </w:rPr>
        <w:t xml:space="preserve">(CLSI document EP09-A3., 2013) </w:t>
      </w:r>
      <w:r>
        <w:rPr>
          <w:rFonts w:ascii="Century" w:eastAsiaTheme="minorEastAsia" w:hAnsi="Century"/>
          <w:sz w:val="24"/>
        </w:rPr>
        <w:t xml:space="preserve">kılavuzunda yöntem karşılaştırma çalışmalarında en az 100 gözlemin alınması önerilmiştir. </w:t>
      </w:r>
      <w:r w:rsidR="00177C87">
        <w:rPr>
          <w:rFonts w:ascii="Century" w:eastAsiaTheme="minorEastAsia" w:hAnsi="Century"/>
          <w:sz w:val="24"/>
        </w:rPr>
        <w:br/>
      </w:r>
      <w:r w:rsidR="00453868">
        <w:rPr>
          <w:rFonts w:ascii="Century" w:eastAsiaTheme="minorEastAsia" w:hAnsi="Century"/>
          <w:sz w:val="24"/>
        </w:rPr>
        <w:t>(Linnet vd., 1998)</w:t>
      </w:r>
      <w:r>
        <w:rPr>
          <w:rFonts w:ascii="Century" w:eastAsiaTheme="minorEastAsia" w:hAnsi="Century"/>
          <w:sz w:val="24"/>
        </w:rPr>
        <w:t xml:space="preserve">, çalışmasında gerçekleştirdiği benzetimde gözlem sayısını 50 olarak belirlemiştir. Literatürdeki diğer çalışmalar incelendiğinde gözlem sayısının genelde 50 ile 200 arasında değişkenlik gösterdiği gözlenmiştir. </w:t>
      </w:r>
    </w:p>
    <w:p w:rsidR="000815A3" w:rsidRPr="001B2E97" w:rsidRDefault="000815A3" w:rsidP="000815A3">
      <w:pPr>
        <w:spacing w:line="360" w:lineRule="auto"/>
        <w:ind w:firstLine="708"/>
        <w:jc w:val="both"/>
        <w:rPr>
          <w:rFonts w:ascii="Century" w:eastAsiaTheme="minorEastAsia" w:hAnsi="Century"/>
          <w:color w:val="FF0000"/>
          <w:sz w:val="24"/>
        </w:rPr>
      </w:pPr>
      <w:r>
        <w:rPr>
          <w:rFonts w:ascii="Century" w:eastAsiaTheme="minorEastAsia" w:hAnsi="Century"/>
          <w:sz w:val="24"/>
        </w:rPr>
        <w:t xml:space="preserve">Ölçümlerin dağılımı simetrik ve pozitif çarpık olmak üzere iki durumda ele alınmıştır. Simetrik veriler normal dağılımdan, pozitif çarpık veriler ise </w:t>
      </w:r>
      <w:r w:rsidRPr="00ED3966">
        <w:rPr>
          <w:rFonts w:ascii="Century" w:eastAsiaTheme="minorEastAsia" w:hAnsi="Century"/>
          <w:sz w:val="24"/>
        </w:rPr>
        <w:t xml:space="preserve">çarpık-normal dağılım ailesinden </w:t>
      </w:r>
      <w:r w:rsidRPr="002A11DA">
        <w:rPr>
          <w:rFonts w:ascii="Century" w:eastAsiaTheme="minorEastAsia" w:hAnsi="Century"/>
          <w:sz w:val="24"/>
        </w:rPr>
        <w:t xml:space="preserve">(Azzalini </w:t>
      </w:r>
      <w:r w:rsidR="002A11DA" w:rsidRPr="002A11DA">
        <w:rPr>
          <w:rFonts w:ascii="Century" w:eastAsiaTheme="minorEastAsia" w:hAnsi="Century"/>
          <w:sz w:val="24"/>
        </w:rPr>
        <w:t>vd., 2014</w:t>
      </w:r>
      <w:r w:rsidRPr="002A11DA">
        <w:rPr>
          <w:rFonts w:ascii="Century" w:eastAsiaTheme="minorEastAsia" w:hAnsi="Century"/>
          <w:sz w:val="24"/>
        </w:rPr>
        <w:t xml:space="preserve">) </w:t>
      </w:r>
      <w:r w:rsidRPr="00ED3966">
        <w:rPr>
          <w:rFonts w:ascii="Century" w:eastAsiaTheme="minorEastAsia" w:hAnsi="Century"/>
          <w:sz w:val="24"/>
        </w:rPr>
        <w:t xml:space="preserve">türetilmiştir. Normal dağılım parametreleri veri dağılımı </w:t>
      </w:r>
      <w:r w:rsidRPr="00426AF0">
        <w:rPr>
          <w:rFonts w:ascii="Century" w:eastAsiaTheme="minorEastAsia" w:hAnsi="Century"/>
          <w:sz w:val="24"/>
        </w:rPr>
        <w:t>senaryosuna göre belirlenmiştir. Çarpık</w:t>
      </w:r>
      <w:r w:rsidR="001F1E3D">
        <w:rPr>
          <w:rFonts w:ascii="Century" w:eastAsiaTheme="minorEastAsia" w:hAnsi="Century"/>
          <w:sz w:val="24"/>
        </w:rPr>
        <w:t>-</w:t>
      </w:r>
      <w:r w:rsidRPr="00426AF0">
        <w:rPr>
          <w:rFonts w:ascii="Century" w:eastAsiaTheme="minorEastAsia" w:hAnsi="Century"/>
          <w:sz w:val="24"/>
        </w:rPr>
        <w:t xml:space="preserve">normal dağılımdan veri türetiminde ise yine bu parametrelerden faydalanılmıştır. Bu dağılımdan veri türetirken ilgili dağılım aralığı oranı senaryosuna göre ortalama, 1.5 standart sapma sola kaydırılmıştır. Dağılımın yaygınlık parametresi omega ilgili dağılım aralığına göre belirlenmiştir. Bu sayede aynı probleme ilişkin simetrik ve pozitif çarpık yapıda veri türetimi gerçekleştirilmiş, normal ve çarpık-normal dağılımlardan türetilen veriler karşılaştırılabilir kılınmıştır. </w:t>
      </w:r>
    </w:p>
    <w:p w:rsidR="000815A3" w:rsidRDefault="000815A3" w:rsidP="000815A3">
      <w:pPr>
        <w:spacing w:line="360" w:lineRule="auto"/>
        <w:ind w:firstLine="708"/>
        <w:jc w:val="both"/>
        <w:rPr>
          <w:rFonts w:ascii="Century" w:eastAsiaTheme="minorEastAsia" w:hAnsi="Century"/>
          <w:sz w:val="24"/>
        </w:rPr>
      </w:pPr>
      <w:r>
        <w:rPr>
          <w:rFonts w:ascii="Century" w:eastAsiaTheme="minorEastAsia" w:hAnsi="Century"/>
          <w:sz w:val="24"/>
        </w:rPr>
        <w:lastRenderedPageBreak/>
        <w:t xml:space="preserve">Etkili gözlem sayısı 0 ya da 1 olarak belirlenmiştir. Öncelikle yukarıda belirtildiği gibi referans ve test yöntemlerinin ölçüm değerleri, </w:t>
      </w:r>
      <m:oMath>
        <m:r>
          <w:rPr>
            <w:rFonts w:ascii="Cambria Math" w:eastAsiaTheme="minorEastAsia" w:hAnsi="Cambria Math"/>
            <w:sz w:val="24"/>
          </w:rPr>
          <m:t>x</m:t>
        </m:r>
      </m:oMath>
      <w:r>
        <w:rPr>
          <w:rFonts w:ascii="Century" w:eastAsiaTheme="minorEastAsia" w:hAnsi="Century"/>
          <w:sz w:val="24"/>
        </w:rPr>
        <w:t xml:space="preserve"> ve </w:t>
      </w:r>
      <m:oMath>
        <m:r>
          <w:rPr>
            <w:rFonts w:ascii="Cambria Math" w:eastAsiaTheme="minorEastAsia" w:hAnsi="Cambria Math"/>
            <w:sz w:val="24"/>
          </w:rPr>
          <m:t>y</m:t>
        </m:r>
      </m:oMath>
      <w:r>
        <w:rPr>
          <w:rFonts w:ascii="Century" w:eastAsiaTheme="minorEastAsia" w:hAnsi="Century"/>
          <w:sz w:val="24"/>
        </w:rPr>
        <w:t xml:space="preserve">, türetilmiştir. Etkili gözlemin olmadığı senaryoda analizlere bu türetilen veriler ile devam edilmiştir. Etkili gözlemin 1 olduğu durumda ise gözlemlerden biri izleyen şekilde etkili gözlem haline getirilmiştir. İlk adımda </w:t>
      </w:r>
      <m:oMath>
        <m:r>
          <w:rPr>
            <w:rFonts w:ascii="Cambria Math" w:eastAsiaTheme="minorEastAsia" w:hAnsi="Cambria Math"/>
            <w:sz w:val="24"/>
          </w:rPr>
          <m:t>x</m:t>
        </m:r>
      </m:oMath>
      <w:r>
        <w:rPr>
          <w:rFonts w:ascii="Century" w:eastAsiaTheme="minorEastAsia" w:hAnsi="Century"/>
          <w:sz w:val="24"/>
        </w:rPr>
        <w:t xml:space="preserve"> ölçüm değeri en yüksek olan gözlemin </w:t>
      </w:r>
      <m:oMath>
        <m:r>
          <w:rPr>
            <w:rFonts w:ascii="Cambria Math" w:eastAsiaTheme="minorEastAsia" w:hAnsi="Cambria Math"/>
            <w:sz w:val="24"/>
          </w:rPr>
          <m:t>y</m:t>
        </m:r>
      </m:oMath>
      <w:r>
        <w:rPr>
          <w:rFonts w:ascii="Century" w:eastAsiaTheme="minorEastAsia" w:hAnsi="Century"/>
          <w:sz w:val="24"/>
        </w:rPr>
        <w:t xml:space="preserve"> ölçüm değeri, </w:t>
      </w:r>
      <m:oMath>
        <m:r>
          <w:rPr>
            <w:rFonts w:ascii="Cambria Math" w:eastAsiaTheme="minorEastAsia" w:hAnsi="Cambria Math"/>
            <w:sz w:val="24"/>
          </w:rPr>
          <m:t>y</m:t>
        </m:r>
      </m:oMath>
      <w:r>
        <w:rPr>
          <w:rFonts w:ascii="Century" w:eastAsiaTheme="minorEastAsia" w:hAnsi="Century"/>
          <w:sz w:val="24"/>
        </w:rPr>
        <w:t xml:space="preserve"> ölçüm değeri en yüksek olan gözlem ile aynı olacak şekilde değiştirilmiştir. İkinci adımda ise bu değere </w:t>
      </w:r>
      <m:oMath>
        <m:r>
          <w:rPr>
            <w:rFonts w:ascii="Cambria Math" w:eastAsiaTheme="minorEastAsia" w:hAnsi="Cambria Math"/>
            <w:sz w:val="24"/>
          </w:rPr>
          <m:t>y</m:t>
        </m:r>
      </m:oMath>
      <w:r>
        <w:rPr>
          <w:rFonts w:ascii="Century" w:eastAsiaTheme="minorEastAsia" w:hAnsi="Century"/>
          <w:sz w:val="24"/>
        </w:rPr>
        <w:t xml:space="preserve"> ölçümünün dağılım aralığının %40’ı eklenmiştir. Etkili gözlem ekleme işlemi </w:t>
      </w:r>
      <w:r w:rsidRPr="00C77213">
        <w:rPr>
          <w:rFonts w:ascii="Century" w:eastAsiaTheme="minorEastAsia" w:hAnsi="Century"/>
          <w:sz w:val="24"/>
        </w:rPr>
        <w:t xml:space="preserve">Şekil </w:t>
      </w:r>
      <w:r w:rsidR="00C77213" w:rsidRPr="00C77213">
        <w:rPr>
          <w:rFonts w:ascii="Century" w:eastAsiaTheme="minorEastAsia" w:hAnsi="Century"/>
          <w:sz w:val="24"/>
        </w:rPr>
        <w:t>3.1’d</w:t>
      </w:r>
      <w:r w:rsidRPr="00C77213">
        <w:rPr>
          <w:rFonts w:ascii="Century" w:eastAsiaTheme="minorEastAsia" w:hAnsi="Century"/>
          <w:sz w:val="24"/>
        </w:rPr>
        <w:t xml:space="preserve">e </w:t>
      </w:r>
      <w:r>
        <w:rPr>
          <w:rFonts w:ascii="Century" w:eastAsiaTheme="minorEastAsia" w:hAnsi="Century"/>
          <w:sz w:val="24"/>
        </w:rPr>
        <w:t>gösterilmiştir:</w:t>
      </w:r>
    </w:p>
    <w:p w:rsidR="008B3312" w:rsidRDefault="008B3312" w:rsidP="000815A3">
      <w:pPr>
        <w:spacing w:line="360" w:lineRule="auto"/>
        <w:ind w:firstLine="708"/>
        <w:jc w:val="both"/>
        <w:rPr>
          <w:rFonts w:ascii="Century" w:eastAsiaTheme="minorEastAsia" w:hAnsi="Century"/>
          <w:sz w:val="24"/>
        </w:rPr>
      </w:pPr>
    </w:p>
    <w:p w:rsidR="000815A3" w:rsidRDefault="000815A3" w:rsidP="000815A3">
      <w:pPr>
        <w:keepNext/>
        <w:spacing w:line="360" w:lineRule="auto"/>
      </w:pPr>
      <w:r>
        <w:rPr>
          <w:rFonts w:ascii="Century" w:eastAsiaTheme="minorEastAsia" w:hAnsi="Century"/>
          <w:noProof/>
          <w:sz w:val="24"/>
          <w:lang w:eastAsia="tr-TR"/>
        </w:rPr>
        <w:drawing>
          <wp:inline distT="0" distB="0" distL="0" distR="0" wp14:anchorId="4A709B2D" wp14:editId="5CFDE922">
            <wp:extent cx="5752465" cy="2794635"/>
            <wp:effectExtent l="0" t="0" r="63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2465" cy="2794635"/>
                    </a:xfrm>
                    <a:prstGeom prst="rect">
                      <a:avLst/>
                    </a:prstGeom>
                    <a:noFill/>
                    <a:ln>
                      <a:noFill/>
                    </a:ln>
                  </pic:spPr>
                </pic:pic>
              </a:graphicData>
            </a:graphic>
          </wp:inline>
        </w:drawing>
      </w:r>
    </w:p>
    <w:p w:rsidR="000815A3" w:rsidRDefault="000815A3" w:rsidP="000815A3">
      <w:pPr>
        <w:pStyle w:val="ResimYazs"/>
        <w:jc w:val="both"/>
        <w:rPr>
          <w:rFonts w:ascii="Century" w:hAnsi="Century"/>
          <w:b/>
          <w:i w:val="0"/>
          <w:color w:val="auto"/>
          <w:sz w:val="20"/>
          <w:szCs w:val="24"/>
        </w:rPr>
      </w:pPr>
      <w:r w:rsidRPr="00C77213">
        <w:rPr>
          <w:rFonts w:ascii="Century" w:hAnsi="Century"/>
          <w:b/>
          <w:i w:val="0"/>
          <w:color w:val="auto"/>
          <w:sz w:val="20"/>
          <w:szCs w:val="24"/>
        </w:rPr>
        <w:t xml:space="preserve">Şekil </w:t>
      </w:r>
      <w:r w:rsidR="00C77213">
        <w:rPr>
          <w:rFonts w:ascii="Century" w:hAnsi="Century"/>
          <w:b/>
          <w:i w:val="0"/>
          <w:color w:val="auto"/>
          <w:sz w:val="20"/>
          <w:szCs w:val="24"/>
        </w:rPr>
        <w:t>3.1</w:t>
      </w:r>
      <w:r w:rsidRPr="00C77213">
        <w:rPr>
          <w:rFonts w:ascii="Century" w:hAnsi="Century"/>
          <w:b/>
          <w:i w:val="0"/>
          <w:color w:val="auto"/>
          <w:sz w:val="20"/>
          <w:szCs w:val="24"/>
        </w:rPr>
        <w:t>. Etkili gözlemin olmadığı ve olduğu iki farklı senaryo. Sağdaki grafikte gösterilen etkili gözlem soldaki şekilde gösterilen gözlem değerinin y ekseni üzerinde kaydırılması ile elde edilmiştir. Mavi çizgi (0,1) ekseninden geçen doğruyu, kırmızı kesikli çizgi ise EKK yöntemi ile elde edilmiş regresyon doğrusunu göstermektedir.</w:t>
      </w:r>
    </w:p>
    <w:p w:rsidR="0064257D" w:rsidRPr="0064257D" w:rsidRDefault="0064257D" w:rsidP="0064257D"/>
    <w:p w:rsidR="000815A3" w:rsidRDefault="00E63553" w:rsidP="000815A3">
      <w:pPr>
        <w:spacing w:line="360" w:lineRule="auto"/>
        <w:ind w:firstLine="708"/>
        <w:jc w:val="both"/>
        <w:rPr>
          <w:rFonts w:ascii="Century" w:eastAsiaTheme="minorEastAsia" w:hAnsi="Century"/>
          <w:sz w:val="24"/>
        </w:rPr>
      </w:pP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=(0, 5)</m:t>
        </m:r>
      </m:oMath>
      <w:r w:rsidR="000815A3">
        <w:rPr>
          <w:rFonts w:ascii="Century" w:eastAsiaTheme="minorEastAsia" w:hAnsi="Century"/>
          <w:sz w:val="24"/>
        </w:rPr>
        <w:t xml:space="preserve"> ve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 1.2)</m:t>
        </m:r>
      </m:oMath>
      <w:r w:rsidR="000815A3">
        <w:rPr>
          <w:rFonts w:ascii="Century" w:eastAsiaTheme="minorEastAsia" w:hAnsi="Century"/>
          <w:sz w:val="24"/>
        </w:rPr>
        <w:t xml:space="preserve"> katsayıları ise dört farklı durumu temsil edecek şekilde oluşturulmuştur.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 xml:space="preserve">=0,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m:t>
        </m:r>
      </m:oMath>
      <w:r w:rsidR="000815A3">
        <w:rPr>
          <w:rFonts w:ascii="Century" w:eastAsiaTheme="minorEastAsia" w:hAnsi="Century"/>
          <w:sz w:val="24"/>
        </w:rPr>
        <w:t xml:space="preserve"> durumunda yöntemlerin gerçekte aynı ölçtüğü, sabit ya da oransal hata olmadığı varsayılmıştır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r>
          <w:rPr>
            <w:rFonts w:ascii="Cambria Math" w:eastAsiaTheme="minorEastAsia" w:hAnsi="Cambria Math"/>
            <w:sz w:val="24"/>
          </w:rPr>
          <m:t>)</m:t>
        </m:r>
      </m:oMath>
      <w:r w:rsidR="000815A3">
        <w:rPr>
          <w:rFonts w:ascii="Century" w:eastAsiaTheme="minorEastAsia" w:hAnsi="Century"/>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 xml:space="preserve">=5,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m:t>
        </m:r>
      </m:oMath>
      <w:r w:rsidR="000815A3">
        <w:rPr>
          <w:rFonts w:ascii="Century" w:eastAsiaTheme="minorEastAsia" w:hAnsi="Century"/>
          <w:sz w:val="24"/>
        </w:rPr>
        <w:t xml:space="preserve"> durumunda yöntemler arasında sabit hata olduğu ve bu sabit hatanın 5 birim olduğu varsayılmıştır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5+X</m:t>
            </m:r>
          </m:e>
          <m:sub>
            <m:r>
              <w:rPr>
                <w:rFonts w:ascii="Cambria Math" w:eastAsiaTheme="minorEastAsia" w:hAnsi="Cambria Math"/>
                <w:sz w:val="24"/>
              </w:rPr>
              <m:t>i</m:t>
            </m:r>
          </m:sub>
        </m:sSub>
        <m:r>
          <w:rPr>
            <w:rFonts w:ascii="Cambria Math" w:eastAsiaTheme="minorEastAsia" w:hAnsi="Cambria Math"/>
            <w:sz w:val="24"/>
          </w:rPr>
          <m:t>)</m:t>
        </m:r>
      </m:oMath>
      <w:r w:rsidR="000815A3">
        <w:rPr>
          <w:rFonts w:ascii="Century" w:eastAsiaTheme="minorEastAsia" w:hAnsi="Century"/>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 xml:space="preserve">=0,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=1.2</m:t>
        </m:r>
      </m:oMath>
      <w:r w:rsidR="000815A3">
        <w:rPr>
          <w:rFonts w:ascii="Century" w:eastAsiaTheme="minorEastAsia" w:hAnsi="Century"/>
          <w:sz w:val="24"/>
        </w:rPr>
        <w:t xml:space="preserve"> durumunda yöntemler arasında oransal hata olduğu ve bu oransal hatanın 1.2 kat olduğu varsayılmıştır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1.2 X</m:t>
            </m:r>
          </m:e>
          <m:sub>
            <m:r>
              <w:rPr>
                <w:rFonts w:ascii="Cambria Math" w:eastAsiaTheme="minorEastAsia" w:hAnsi="Cambria Math"/>
                <w:sz w:val="24"/>
              </w:rPr>
              <m:t>i</m:t>
            </m:r>
          </m:sub>
        </m:sSub>
        <m:r>
          <w:rPr>
            <w:rFonts w:ascii="Cambria Math" w:eastAsiaTheme="minorEastAsia" w:hAnsi="Cambria Math"/>
            <w:sz w:val="24"/>
          </w:rPr>
          <m:t>)</m:t>
        </m:r>
      </m:oMath>
      <w:r w:rsidR="000815A3">
        <w:rPr>
          <w:rFonts w:ascii="Century" w:eastAsiaTheme="minorEastAsia" w:hAnsi="Century"/>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0</m:t>
            </m:r>
          </m:sub>
        </m:sSub>
        <m:r>
          <w:rPr>
            <w:rFonts w:ascii="Cambria Math" w:eastAsiaTheme="minorEastAsia" w:hAnsi="Cambria Math"/>
            <w:sz w:val="24"/>
          </w:rPr>
          <m:t xml:space="preserve">=5, </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r>
          <w:rPr>
            <w:rFonts w:ascii="Cambria Math" w:eastAsiaTheme="minorEastAsia" w:hAnsi="Cambria Math"/>
            <w:sz w:val="24"/>
          </w:rPr>
          <m:t>=1.2</m:t>
        </m:r>
      </m:oMath>
      <w:r w:rsidR="000815A3">
        <w:rPr>
          <w:rFonts w:ascii="Century" w:eastAsiaTheme="minorEastAsia" w:hAnsi="Century"/>
          <w:sz w:val="24"/>
        </w:rPr>
        <w:t xml:space="preserve"> durumunda yöntemler arasında hem sabit hem de </w:t>
      </w:r>
      <w:r w:rsidR="000815A3">
        <w:rPr>
          <w:rFonts w:ascii="Century" w:eastAsiaTheme="minorEastAsia" w:hAnsi="Century"/>
          <w:sz w:val="24"/>
        </w:rPr>
        <w:lastRenderedPageBreak/>
        <w:t xml:space="preserve">oransal hata olduğu; sabit hatanın 5 birim ve oransal hatanın 1.2 kat olduğu varsayılmıştır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5+1.2 X</m:t>
            </m:r>
          </m:e>
          <m:sub>
            <m:r>
              <w:rPr>
                <w:rFonts w:ascii="Cambria Math" w:eastAsiaTheme="minorEastAsia" w:hAnsi="Cambria Math"/>
                <w:sz w:val="24"/>
              </w:rPr>
              <m:t>i</m:t>
            </m:r>
          </m:sub>
        </m:sSub>
        <m:r>
          <w:rPr>
            <w:rFonts w:ascii="Cambria Math" w:eastAsiaTheme="minorEastAsia" w:hAnsi="Cambria Math"/>
            <w:sz w:val="24"/>
          </w:rPr>
          <m:t>)</m:t>
        </m:r>
      </m:oMath>
      <w:r w:rsidR="000815A3">
        <w:rPr>
          <w:rFonts w:ascii="Century" w:eastAsiaTheme="minorEastAsia" w:hAnsi="Century"/>
          <w:sz w:val="24"/>
        </w:rPr>
        <w:t xml:space="preserve">. </w:t>
      </w:r>
    </w:p>
    <w:p w:rsidR="000815A3" w:rsidRDefault="000815A3" w:rsidP="000815A3">
      <w:pPr>
        <w:spacing w:line="360" w:lineRule="auto"/>
        <w:ind w:firstLine="708"/>
        <w:jc w:val="both"/>
        <w:rPr>
          <w:rFonts w:ascii="Century" w:hAnsi="Century"/>
          <w:sz w:val="24"/>
        </w:rPr>
      </w:pPr>
      <w:r>
        <w:rPr>
          <w:rFonts w:ascii="Century" w:eastAsiaTheme="minorEastAsia" w:hAnsi="Century"/>
          <w:sz w:val="24"/>
        </w:rPr>
        <w:t xml:space="preserve">Gerçekleştirilen benzetim süreci her olası senaryo için 5000 defa tekrarlanmıştır. Regresyon yöntemlerinin performansı ve güven aralığı yaklaşımları bu 5000 tekrardan hesaplanan performans ölçüleri ile karşılaştırılmıştır. </w:t>
      </w:r>
      <w:r>
        <w:rPr>
          <w:rFonts w:ascii="Century" w:hAnsi="Century"/>
          <w:sz w:val="24"/>
        </w:rPr>
        <w:t xml:space="preserve">Yöntemlerin performanslarının değerlendirilmesinde </w:t>
      </w:r>
      <w:r w:rsidR="00C76147">
        <w:rPr>
          <w:rFonts w:ascii="Century" w:hAnsi="Century"/>
          <w:sz w:val="24"/>
        </w:rPr>
        <w:t>tip-I hata oranı ve güç</w:t>
      </w:r>
      <w:r>
        <w:rPr>
          <w:rFonts w:ascii="Century" w:hAnsi="Century"/>
          <w:sz w:val="24"/>
        </w:rPr>
        <w:t xml:space="preserve"> performans kriterleri dikkate alınmıştır:</w:t>
      </w:r>
    </w:p>
    <w:p w:rsidR="000815A3" w:rsidRPr="00C76147" w:rsidRDefault="000815A3" w:rsidP="000815A3">
      <w:pPr>
        <w:pStyle w:val="ListeParagraf"/>
        <w:numPr>
          <w:ilvl w:val="0"/>
          <w:numId w:val="2"/>
        </w:numPr>
        <w:spacing w:line="360" w:lineRule="auto"/>
        <w:jc w:val="both"/>
        <w:rPr>
          <w:rFonts w:ascii="Century" w:hAnsi="Century"/>
          <w:sz w:val="24"/>
        </w:rPr>
      </w:pPr>
      <w:r>
        <w:rPr>
          <w:rFonts w:ascii="Century" w:hAnsi="Century"/>
          <w:sz w:val="24"/>
        </w:rPr>
        <w:t>Tip-I hata oranı</w:t>
      </w:r>
      <w:r w:rsidR="00C76147">
        <w:rPr>
          <w:rFonts w:ascii="Century" w:hAnsi="Century"/>
          <w:sz w:val="24"/>
        </w:rPr>
        <w:t xml:space="preserve"> (α)</w:t>
      </w:r>
      <w:r>
        <w:rPr>
          <w:rFonts w:ascii="Century" w:hAnsi="Century"/>
          <w:sz w:val="24"/>
        </w:rPr>
        <w:t xml:space="preserve">: Benzetim çalışmasında </w:t>
      </w:r>
      <m:oMath>
        <m:r>
          <w:rPr>
            <w:rFonts w:ascii="Cambria Math" w:hAnsi="Cambria Math"/>
            <w:sz w:val="24"/>
          </w:rPr>
          <m:t>α=0.05</m:t>
        </m:r>
      </m:oMath>
      <w:r>
        <w:rPr>
          <w:rFonts w:ascii="Century" w:eastAsiaTheme="minorEastAsia" w:hAnsi="Century"/>
          <w:sz w:val="24"/>
        </w:rPr>
        <w:t xml:space="preserve"> olarak belirlenmiştir. Gerçekleştirilen 5000 benzetim uygulamasının, </w:t>
      </w:r>
      <m:oMath>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r>
          <w:rPr>
            <w:rFonts w:ascii="Cambria Math" w:eastAsiaTheme="minorEastAsia" w:hAnsi="Cambria Math"/>
            <w:sz w:val="24"/>
          </w:rPr>
          <m:t>=0</m:t>
        </m:r>
      </m:oMath>
      <w:r>
        <w:rPr>
          <w:rFonts w:ascii="Century" w:eastAsiaTheme="minorEastAsia" w:hAnsi="Century"/>
          <w:sz w:val="24"/>
        </w:rPr>
        <w:t xml:space="preserve"> için gerçekleştirilen </w:t>
      </w:r>
      <w:r w:rsidRPr="00106A9D">
        <w:rPr>
          <w:rFonts w:ascii="Century" w:eastAsiaTheme="minorEastAsia" w:hAnsi="Century"/>
          <w:i/>
          <w:sz w:val="24"/>
        </w:rPr>
        <w:t xml:space="preserve">t </w:t>
      </w:r>
      <w:r>
        <w:rPr>
          <w:rFonts w:ascii="Century" w:eastAsiaTheme="minorEastAsia" w:hAnsi="Century"/>
          <w:sz w:val="24"/>
        </w:rPr>
        <w:t>testlerinden 250’sinin (%5) yanlış pozitif olarak anlamlı çıkması beklenir. Bu sayının 250’ye en yakın olduğu yöntem en iyi kabul edilmiştir.</w:t>
      </w:r>
      <w:r w:rsidR="00AC26C6">
        <w:rPr>
          <w:rFonts w:ascii="Century" w:eastAsiaTheme="minorEastAsia" w:hAnsi="Century"/>
          <w:sz w:val="24"/>
        </w:rPr>
        <w:t xml:space="preserve"> Laboratuvar yöntemleri arasında hata olmadığında, en iyi yönteme ilişkin sonuçların %95’inin laboratuvar yöntemleri arasında hata olmadığını söylemesi beklenir.</w:t>
      </w:r>
    </w:p>
    <w:p w:rsidR="00AC26C6" w:rsidRPr="00AC26C6" w:rsidRDefault="00C76147" w:rsidP="00AC26C6">
      <w:pPr>
        <w:pStyle w:val="ListeParagraf"/>
        <w:numPr>
          <w:ilvl w:val="0"/>
          <w:numId w:val="2"/>
        </w:numPr>
        <w:spacing w:line="360" w:lineRule="auto"/>
        <w:jc w:val="both"/>
        <w:rPr>
          <w:rFonts w:ascii="Century" w:hAnsi="Century"/>
          <w:sz w:val="24"/>
        </w:rPr>
      </w:pPr>
      <w:r>
        <w:rPr>
          <w:rFonts w:ascii="Century" w:eastAsiaTheme="minorEastAsia" w:hAnsi="Century"/>
          <w:sz w:val="24"/>
        </w:rPr>
        <w:t xml:space="preserve">Güç (1-β): </w:t>
      </w:r>
      <w:r w:rsidR="00AC26C6">
        <w:rPr>
          <w:rFonts w:ascii="Century" w:eastAsiaTheme="minorEastAsia" w:hAnsi="Century"/>
          <w:sz w:val="24"/>
        </w:rPr>
        <w:t>En yüksek güce sahip yöntem en iyi olarak belirlenmiştir. Laboratuvar yöntemleri arasında hata olduğunda, en yüksek güce sahip yöntemin bu hatayı en iyi tespit etmesi beklenir.</w:t>
      </w:r>
    </w:p>
    <w:p w:rsidR="000815A3" w:rsidRPr="0066319E" w:rsidRDefault="000815A3" w:rsidP="000815A3">
      <w:pPr>
        <w:spacing w:line="360" w:lineRule="auto"/>
        <w:ind w:firstLine="708"/>
        <w:jc w:val="both"/>
        <w:rPr>
          <w:rFonts w:ascii="Century" w:eastAsiaTheme="minorEastAsia" w:hAnsi="Century"/>
          <w:sz w:val="24"/>
          <w:szCs w:val="24"/>
        </w:rPr>
      </w:pPr>
      <w:r w:rsidRPr="00501DEA">
        <w:rPr>
          <w:rFonts w:ascii="Century" w:hAnsi="Century"/>
          <w:sz w:val="24"/>
        </w:rPr>
        <w:t>PB regresyon yönteminde, eğim parametresinin kestirimi için radyan ve tanjant yöntemleri kullanılmıştır</w:t>
      </w:r>
      <w:r w:rsidR="003B78EA">
        <w:rPr>
          <w:rFonts w:ascii="Century" w:hAnsi="Century"/>
          <w:sz w:val="24"/>
        </w:rPr>
        <w:t>. Yapılan ön çalışmalar sonucunda her iki yöntem için elde edilen sonuçların oldukça benzer olmasından dolayı yalnızca bir yöntemin sonuçları verilmiş ve PB olarak genelleştirilmiştir</w:t>
      </w:r>
      <w:r w:rsidRPr="00501DEA">
        <w:rPr>
          <w:rFonts w:ascii="Century" w:hAnsi="Century"/>
          <w:sz w:val="24"/>
        </w:rPr>
        <w:t xml:space="preserve">. </w:t>
      </w:r>
      <w:r>
        <w:rPr>
          <w:rFonts w:ascii="Century" w:hAnsi="Century"/>
          <w:sz w:val="24"/>
        </w:rPr>
        <w:t xml:space="preserve">DR yönteminde hata oranı 1 olarak seçilmiştir. </w:t>
      </w:r>
      <w:r w:rsidRPr="00501DEA">
        <w:rPr>
          <w:rFonts w:ascii="Century" w:hAnsi="Century"/>
          <w:sz w:val="24"/>
        </w:rPr>
        <w:t>Güven aralıklarının belirlenmesinde tip-I hata düzeyi %5 olarak belirlenmiştir.</w:t>
      </w:r>
      <w:r>
        <w:rPr>
          <w:rFonts w:ascii="Century" w:hAnsi="Century"/>
          <w:sz w:val="24"/>
        </w:rPr>
        <w:t xml:space="preserve"> Bootstrap tabanlı güven aralıklarında bootstrap örneklem sayısı 999 alınmıştır. Analizlerin tümü R programlama dilinin çeşitli paketlerinde gerçekleştirilmiştir. Regresyon yöntemlerinin uygulanması için mcr paketi </w:t>
      </w:r>
      <w:r w:rsidR="004C71DD">
        <w:rPr>
          <w:rFonts w:ascii="Century" w:hAnsi="Century"/>
          <w:sz w:val="24"/>
          <w:szCs w:val="24"/>
        </w:rPr>
        <w:t xml:space="preserve">(Manuilova vd., 2014), </w:t>
      </w:r>
      <w:r>
        <w:rPr>
          <w:rFonts w:ascii="Century" w:hAnsi="Century"/>
          <w:sz w:val="24"/>
        </w:rPr>
        <w:t xml:space="preserve">çarpık-normal dağılım verisi üretmek için </w:t>
      </w:r>
      <w:r w:rsidR="004C71DD">
        <w:rPr>
          <w:rFonts w:ascii="Century" w:hAnsi="Century"/>
          <w:sz w:val="24"/>
          <w:szCs w:val="24"/>
        </w:rPr>
        <w:t>(Azzalini vd., 2019)</w:t>
      </w:r>
      <w:r>
        <w:rPr>
          <w:rFonts w:ascii="Century" w:hAnsi="Century"/>
          <w:sz w:val="24"/>
        </w:rPr>
        <w:t>, benzetim verilerinin analizlerinin paralel olarak gerçekleştirilmesi için parallel paketinden (</w:t>
      </w:r>
      <w:r w:rsidR="00B550F9" w:rsidRPr="00B550F9">
        <w:rPr>
          <w:rFonts w:ascii="Century" w:hAnsi="Century"/>
          <w:sz w:val="24"/>
        </w:rPr>
        <w:t>R Core Team, 2020)</w:t>
      </w:r>
      <w:r w:rsidRPr="00B550F9">
        <w:rPr>
          <w:rFonts w:ascii="Century" w:hAnsi="Century"/>
          <w:sz w:val="24"/>
        </w:rPr>
        <w:t xml:space="preserve"> yararlanılmıştır</w:t>
      </w:r>
      <w:r>
        <w:rPr>
          <w:rFonts w:ascii="Century" w:hAnsi="Century"/>
          <w:sz w:val="24"/>
        </w:rPr>
        <w:t xml:space="preserve">. Tüm analizler için seed parametresi 2064 alınmıştır. </w:t>
      </w:r>
      <w:r>
        <w:rPr>
          <w:rFonts w:ascii="Century" w:eastAsiaTheme="minorEastAsia" w:hAnsi="Century"/>
          <w:sz w:val="24"/>
        </w:rPr>
        <w:t xml:space="preserve">Analizlerin tümü farklı iş istasyonlarına paylaştırılmış ve her iş istasyonunun çekirdeklerinde paralel olarak çalışacak </w:t>
      </w:r>
      <w:r>
        <w:rPr>
          <w:rFonts w:ascii="Century" w:eastAsiaTheme="minorEastAsia" w:hAnsi="Century"/>
          <w:sz w:val="24"/>
        </w:rPr>
        <w:lastRenderedPageBreak/>
        <w:t xml:space="preserve">şekilde kodlanmıştır. </w:t>
      </w:r>
      <w:r w:rsidRPr="0066319E">
        <w:rPr>
          <w:rFonts w:ascii="Century" w:eastAsiaTheme="minorEastAsia" w:hAnsi="Century"/>
          <w:sz w:val="24"/>
          <w:szCs w:val="24"/>
        </w:rPr>
        <w:t xml:space="preserve">Çalışmada kullanılan iş istasyonu bilgileri </w:t>
      </w:r>
      <w:r w:rsidRPr="00384290">
        <w:rPr>
          <w:rFonts w:ascii="Century" w:eastAsiaTheme="minorEastAsia" w:hAnsi="Century"/>
          <w:sz w:val="24"/>
          <w:szCs w:val="24"/>
        </w:rPr>
        <w:t xml:space="preserve">Tablo </w:t>
      </w:r>
      <w:r w:rsidR="00384290" w:rsidRPr="00384290">
        <w:rPr>
          <w:rFonts w:ascii="Century" w:eastAsiaTheme="minorEastAsia" w:hAnsi="Century"/>
          <w:sz w:val="24"/>
          <w:szCs w:val="24"/>
        </w:rPr>
        <w:t>3.1’d</w:t>
      </w:r>
      <w:r w:rsidRPr="00384290">
        <w:rPr>
          <w:rFonts w:ascii="Century" w:eastAsiaTheme="minorEastAsia" w:hAnsi="Century"/>
          <w:sz w:val="24"/>
          <w:szCs w:val="24"/>
        </w:rPr>
        <w:t xml:space="preserve">e </w:t>
      </w:r>
      <w:r w:rsidRPr="0066319E">
        <w:rPr>
          <w:rFonts w:ascii="Century" w:eastAsiaTheme="minorEastAsia" w:hAnsi="Century"/>
          <w:sz w:val="24"/>
          <w:szCs w:val="24"/>
        </w:rPr>
        <w:t>verilmiştir:</w:t>
      </w:r>
    </w:p>
    <w:p w:rsidR="000815A3" w:rsidRPr="00384290" w:rsidRDefault="000815A3" w:rsidP="000815A3">
      <w:pPr>
        <w:pStyle w:val="ResimYazs"/>
        <w:keepNext/>
        <w:rPr>
          <w:rFonts w:ascii="Century" w:hAnsi="Century"/>
          <w:b/>
          <w:i w:val="0"/>
          <w:color w:val="auto"/>
          <w:sz w:val="20"/>
          <w:szCs w:val="24"/>
          <w:lang w:val="en-US"/>
        </w:rPr>
      </w:pPr>
      <w:r w:rsidRPr="00384290">
        <w:rPr>
          <w:rFonts w:ascii="Century" w:hAnsi="Century"/>
          <w:b/>
          <w:i w:val="0"/>
          <w:color w:val="auto"/>
          <w:sz w:val="20"/>
          <w:szCs w:val="24"/>
          <w:lang w:val="en-US"/>
        </w:rPr>
        <w:t xml:space="preserve">Tablo </w:t>
      </w:r>
      <w:r w:rsidR="00384290" w:rsidRPr="00384290">
        <w:rPr>
          <w:rFonts w:ascii="Century" w:hAnsi="Century"/>
          <w:b/>
          <w:i w:val="0"/>
          <w:color w:val="auto"/>
          <w:sz w:val="20"/>
          <w:szCs w:val="24"/>
          <w:lang w:val="en-US"/>
        </w:rPr>
        <w:t>3.1</w:t>
      </w:r>
      <w:r w:rsidRPr="00384290">
        <w:rPr>
          <w:rFonts w:ascii="Century" w:hAnsi="Century"/>
          <w:b/>
          <w:i w:val="0"/>
          <w:color w:val="auto"/>
          <w:sz w:val="20"/>
          <w:szCs w:val="24"/>
          <w:lang w:val="en-US"/>
        </w:rPr>
        <w:t>. Benzetim sürecinde kullanılan iş istasyonları</w:t>
      </w:r>
    </w:p>
    <w:tbl>
      <w:tblPr>
        <w:tblStyle w:val="TabloKlavuzu"/>
        <w:tblW w:w="9411" w:type="dxa"/>
        <w:tblLayout w:type="fixed"/>
        <w:tblLook w:val="04A0" w:firstRow="1" w:lastRow="0" w:firstColumn="1" w:lastColumn="0" w:noHBand="0" w:noVBand="1"/>
      </w:tblPr>
      <w:tblGrid>
        <w:gridCol w:w="4800"/>
        <w:gridCol w:w="2031"/>
        <w:gridCol w:w="1216"/>
        <w:gridCol w:w="1364"/>
      </w:tblGrid>
      <w:tr w:rsidR="000815A3" w:rsidRPr="0066319E" w:rsidTr="00D23E50">
        <w:tc>
          <w:tcPr>
            <w:tcW w:w="4800" w:type="dxa"/>
          </w:tcPr>
          <w:p w:rsidR="000815A3" w:rsidRPr="0066319E" w:rsidRDefault="000815A3" w:rsidP="00F04682">
            <w:pPr>
              <w:spacing w:line="360" w:lineRule="auto"/>
              <w:jc w:val="both"/>
              <w:rPr>
                <w:rFonts w:ascii="Century" w:hAnsi="Century"/>
                <w:b/>
                <w:sz w:val="24"/>
                <w:szCs w:val="24"/>
                <w:lang w:val="en-US"/>
              </w:rPr>
            </w:pPr>
            <w:r>
              <w:rPr>
                <w:rFonts w:ascii="Century" w:hAnsi="Century"/>
                <w:b/>
                <w:sz w:val="24"/>
                <w:szCs w:val="24"/>
                <w:lang w:val="en-US"/>
              </w:rPr>
              <w:t>İş istasyonu</w:t>
            </w:r>
          </w:p>
        </w:tc>
        <w:tc>
          <w:tcPr>
            <w:tcW w:w="2031" w:type="dxa"/>
          </w:tcPr>
          <w:p w:rsidR="000815A3" w:rsidRPr="0066319E" w:rsidRDefault="000815A3" w:rsidP="00F04682">
            <w:pPr>
              <w:spacing w:line="360" w:lineRule="auto"/>
              <w:jc w:val="center"/>
              <w:rPr>
                <w:rFonts w:ascii="Century" w:hAnsi="Century"/>
                <w:b/>
                <w:sz w:val="24"/>
                <w:szCs w:val="24"/>
                <w:lang w:val="en-US"/>
              </w:rPr>
            </w:pPr>
            <w:r>
              <w:rPr>
                <w:rFonts w:ascii="Century" w:hAnsi="Century"/>
                <w:b/>
                <w:sz w:val="24"/>
                <w:szCs w:val="24"/>
                <w:lang w:val="en-US"/>
              </w:rPr>
              <w:t>İşletim sistemi</w:t>
            </w:r>
          </w:p>
        </w:tc>
        <w:tc>
          <w:tcPr>
            <w:tcW w:w="1216" w:type="dxa"/>
          </w:tcPr>
          <w:p w:rsidR="000815A3" w:rsidRPr="0066319E" w:rsidRDefault="000815A3" w:rsidP="00F04682">
            <w:pPr>
              <w:spacing w:line="360" w:lineRule="auto"/>
              <w:jc w:val="center"/>
              <w:rPr>
                <w:rFonts w:ascii="Century" w:hAnsi="Century"/>
                <w:b/>
                <w:sz w:val="24"/>
                <w:szCs w:val="24"/>
                <w:lang w:val="en-US"/>
              </w:rPr>
            </w:pPr>
            <w:r>
              <w:rPr>
                <w:rFonts w:ascii="Century" w:hAnsi="Century"/>
                <w:b/>
                <w:sz w:val="24"/>
                <w:szCs w:val="24"/>
                <w:lang w:val="en-US"/>
              </w:rPr>
              <w:t>RAM</w:t>
            </w:r>
          </w:p>
        </w:tc>
        <w:tc>
          <w:tcPr>
            <w:tcW w:w="1364" w:type="dxa"/>
          </w:tcPr>
          <w:p w:rsidR="000815A3" w:rsidRPr="0066319E" w:rsidRDefault="000815A3" w:rsidP="00F04682">
            <w:pPr>
              <w:spacing w:line="360" w:lineRule="auto"/>
              <w:jc w:val="center"/>
              <w:rPr>
                <w:rFonts w:ascii="Century" w:hAnsi="Century"/>
                <w:b/>
                <w:sz w:val="24"/>
                <w:szCs w:val="24"/>
                <w:lang w:val="en-US"/>
              </w:rPr>
            </w:pPr>
            <w:r>
              <w:rPr>
                <w:rFonts w:ascii="Century" w:hAnsi="Century"/>
                <w:b/>
                <w:sz w:val="24"/>
                <w:szCs w:val="24"/>
                <w:lang w:val="en-US"/>
              </w:rPr>
              <w:t>Çekirdek sayısı</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Kişisel iş istasyonu</w:t>
            </w:r>
          </w:p>
        </w:tc>
        <w:tc>
          <w:tcPr>
            <w:tcW w:w="2031"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 xml:space="preserve">Windows </w:t>
            </w:r>
            <w:r>
              <w:rPr>
                <w:rFonts w:ascii="Century" w:hAnsi="Century"/>
                <w:sz w:val="24"/>
                <w:szCs w:val="24"/>
                <w:lang w:val="en-US"/>
              </w:rPr>
              <w:t>10</w:t>
            </w:r>
          </w:p>
        </w:tc>
        <w:tc>
          <w:tcPr>
            <w:tcW w:w="1216"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8</w:t>
            </w:r>
            <w:r w:rsidRPr="0066319E">
              <w:rPr>
                <w:rFonts w:ascii="Century" w:hAnsi="Century"/>
                <w:sz w:val="24"/>
                <w:szCs w:val="24"/>
                <w:lang w:val="en-US"/>
              </w:rPr>
              <w:t xml:space="preserve"> GB</w:t>
            </w:r>
          </w:p>
        </w:tc>
        <w:tc>
          <w:tcPr>
            <w:tcW w:w="1364"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12</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Kişisel iş istasyonu (2)</w:t>
            </w:r>
          </w:p>
        </w:tc>
        <w:tc>
          <w:tcPr>
            <w:tcW w:w="2031"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OS X Sierra</w:t>
            </w:r>
          </w:p>
        </w:tc>
        <w:tc>
          <w:tcPr>
            <w:tcW w:w="1216"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4</w:t>
            </w:r>
            <w:r w:rsidRPr="0066319E">
              <w:rPr>
                <w:rFonts w:ascii="Century" w:hAnsi="Century"/>
                <w:sz w:val="24"/>
                <w:szCs w:val="24"/>
                <w:lang w:val="en-US"/>
              </w:rPr>
              <w:t xml:space="preserve"> GB</w:t>
            </w:r>
          </w:p>
        </w:tc>
        <w:tc>
          <w:tcPr>
            <w:tcW w:w="1364"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4</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 xml:space="preserve">Erciyes Üniversitesi, </w:t>
            </w:r>
            <w:r>
              <w:rPr>
                <w:rFonts w:ascii="Century" w:hAnsi="Century"/>
                <w:sz w:val="24"/>
                <w:szCs w:val="24"/>
                <w:lang w:val="en-US"/>
              </w:rPr>
              <w:br/>
              <w:t>Biyoistatistik Anabilim Dalı</w:t>
            </w:r>
          </w:p>
        </w:tc>
        <w:tc>
          <w:tcPr>
            <w:tcW w:w="2031"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OS X Sierra</w:t>
            </w:r>
          </w:p>
        </w:tc>
        <w:tc>
          <w:tcPr>
            <w:tcW w:w="1216"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32 GB</w:t>
            </w:r>
          </w:p>
        </w:tc>
        <w:tc>
          <w:tcPr>
            <w:tcW w:w="1364"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8</w:t>
            </w:r>
          </w:p>
        </w:tc>
      </w:tr>
      <w:tr w:rsidR="000815A3" w:rsidRPr="0066319E" w:rsidTr="00D23E50">
        <w:tc>
          <w:tcPr>
            <w:tcW w:w="4800" w:type="dxa"/>
          </w:tcPr>
          <w:p w:rsidR="000815A3" w:rsidRDefault="000815A3" w:rsidP="00F04682">
            <w:pPr>
              <w:spacing w:line="360" w:lineRule="auto"/>
              <w:rPr>
                <w:rFonts w:ascii="Century" w:hAnsi="Century"/>
                <w:sz w:val="24"/>
                <w:szCs w:val="24"/>
                <w:lang w:val="en-US"/>
              </w:rPr>
            </w:pPr>
            <w:r>
              <w:rPr>
                <w:rFonts w:ascii="Century" w:hAnsi="Century"/>
                <w:sz w:val="24"/>
                <w:szCs w:val="24"/>
                <w:lang w:val="en-US"/>
              </w:rPr>
              <w:t xml:space="preserve">Erciyes Üniversitesi, </w:t>
            </w:r>
            <w:r>
              <w:rPr>
                <w:rFonts w:ascii="Century" w:hAnsi="Century"/>
                <w:sz w:val="24"/>
                <w:szCs w:val="24"/>
                <w:lang w:val="en-US"/>
              </w:rPr>
              <w:br/>
              <w:t>Biyoistatistik Anabilim Dalı (2)</w:t>
            </w:r>
          </w:p>
        </w:tc>
        <w:tc>
          <w:tcPr>
            <w:tcW w:w="2031"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 xml:space="preserve">Windows </w:t>
            </w:r>
            <w:r>
              <w:rPr>
                <w:rFonts w:ascii="Century" w:hAnsi="Century"/>
                <w:sz w:val="24"/>
                <w:szCs w:val="24"/>
                <w:lang w:val="en-US"/>
              </w:rPr>
              <w:t>10</w:t>
            </w:r>
          </w:p>
        </w:tc>
        <w:tc>
          <w:tcPr>
            <w:tcW w:w="1216"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16</w:t>
            </w:r>
            <w:r w:rsidRPr="0066319E">
              <w:rPr>
                <w:rFonts w:ascii="Century" w:hAnsi="Century"/>
                <w:sz w:val="24"/>
                <w:szCs w:val="24"/>
                <w:lang w:val="en-US"/>
              </w:rPr>
              <w:t xml:space="preserve"> GB</w:t>
            </w:r>
          </w:p>
        </w:tc>
        <w:tc>
          <w:tcPr>
            <w:tcW w:w="1364"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12</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Turcosa Analitik Çözümlemeler</w:t>
            </w:r>
          </w:p>
        </w:tc>
        <w:tc>
          <w:tcPr>
            <w:tcW w:w="2031"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OS X Catalina</w:t>
            </w:r>
          </w:p>
        </w:tc>
        <w:tc>
          <w:tcPr>
            <w:tcW w:w="1216"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8</w:t>
            </w:r>
            <w:r w:rsidRPr="0066319E">
              <w:rPr>
                <w:rFonts w:ascii="Century" w:hAnsi="Century"/>
                <w:sz w:val="24"/>
                <w:szCs w:val="24"/>
                <w:lang w:val="en-US"/>
              </w:rPr>
              <w:t xml:space="preserve"> GB</w:t>
            </w:r>
          </w:p>
        </w:tc>
        <w:tc>
          <w:tcPr>
            <w:tcW w:w="1364"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4</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 xml:space="preserve">Hacettepe Üniversitesi, </w:t>
            </w:r>
            <w:r>
              <w:rPr>
                <w:rFonts w:ascii="Century" w:hAnsi="Century"/>
                <w:sz w:val="24"/>
                <w:szCs w:val="24"/>
                <w:lang w:val="en-US"/>
              </w:rPr>
              <w:br/>
              <w:t>Biyoistatistik Anabilim Dalı</w:t>
            </w:r>
          </w:p>
        </w:tc>
        <w:tc>
          <w:tcPr>
            <w:tcW w:w="2031"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 xml:space="preserve">Windows </w:t>
            </w:r>
            <w:r>
              <w:rPr>
                <w:rFonts w:ascii="Century" w:hAnsi="Century"/>
                <w:sz w:val="24"/>
                <w:szCs w:val="24"/>
                <w:lang w:val="en-US"/>
              </w:rPr>
              <w:t>10</w:t>
            </w:r>
          </w:p>
        </w:tc>
        <w:tc>
          <w:tcPr>
            <w:tcW w:w="1216" w:type="dxa"/>
          </w:tcPr>
          <w:p w:rsidR="000815A3" w:rsidRPr="0066319E" w:rsidRDefault="000815A3" w:rsidP="00F04682">
            <w:pPr>
              <w:spacing w:line="360" w:lineRule="auto"/>
              <w:jc w:val="center"/>
              <w:rPr>
                <w:rFonts w:ascii="Century" w:hAnsi="Century"/>
                <w:sz w:val="24"/>
                <w:szCs w:val="24"/>
                <w:lang w:val="en-US"/>
              </w:rPr>
            </w:pPr>
            <w:r>
              <w:rPr>
                <w:rFonts w:ascii="Century" w:hAnsi="Century"/>
                <w:sz w:val="24"/>
                <w:szCs w:val="24"/>
                <w:lang w:val="en-US"/>
              </w:rPr>
              <w:t>64</w:t>
            </w:r>
            <w:r w:rsidRPr="0066319E">
              <w:rPr>
                <w:rFonts w:ascii="Century" w:hAnsi="Century"/>
                <w:sz w:val="24"/>
                <w:szCs w:val="24"/>
                <w:lang w:val="en-US"/>
              </w:rPr>
              <w:t xml:space="preserve"> GB</w:t>
            </w:r>
          </w:p>
        </w:tc>
        <w:tc>
          <w:tcPr>
            <w:tcW w:w="1364"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12</w:t>
            </w:r>
          </w:p>
        </w:tc>
      </w:tr>
      <w:tr w:rsidR="000815A3" w:rsidRPr="0066319E" w:rsidTr="00D23E50">
        <w:tc>
          <w:tcPr>
            <w:tcW w:w="4800" w:type="dxa"/>
          </w:tcPr>
          <w:p w:rsidR="000815A3" w:rsidRPr="0066319E" w:rsidRDefault="000815A3" w:rsidP="00F04682">
            <w:pPr>
              <w:spacing w:line="360" w:lineRule="auto"/>
              <w:rPr>
                <w:rFonts w:ascii="Century" w:hAnsi="Century"/>
                <w:sz w:val="24"/>
                <w:szCs w:val="24"/>
                <w:lang w:val="en-US"/>
              </w:rPr>
            </w:pPr>
            <w:r>
              <w:rPr>
                <w:rFonts w:ascii="Century" w:hAnsi="Century"/>
                <w:sz w:val="24"/>
                <w:szCs w:val="24"/>
                <w:lang w:val="en-US"/>
              </w:rPr>
              <w:t xml:space="preserve">Hacettepe Üniversitesi, </w:t>
            </w:r>
            <w:r>
              <w:rPr>
                <w:rFonts w:ascii="Century" w:hAnsi="Century"/>
                <w:sz w:val="24"/>
                <w:szCs w:val="24"/>
                <w:lang w:val="en-US"/>
              </w:rPr>
              <w:br/>
              <w:t>Biyoistatistik Anabilim Dalı (2)</w:t>
            </w:r>
          </w:p>
        </w:tc>
        <w:tc>
          <w:tcPr>
            <w:tcW w:w="2031"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 xml:space="preserve">Windows </w:t>
            </w:r>
            <w:r>
              <w:rPr>
                <w:rFonts w:ascii="Century" w:hAnsi="Century"/>
                <w:sz w:val="24"/>
                <w:szCs w:val="24"/>
                <w:lang w:val="en-US"/>
              </w:rPr>
              <w:t>10</w:t>
            </w:r>
          </w:p>
        </w:tc>
        <w:tc>
          <w:tcPr>
            <w:tcW w:w="1216"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16 GB</w:t>
            </w:r>
          </w:p>
        </w:tc>
        <w:tc>
          <w:tcPr>
            <w:tcW w:w="1364" w:type="dxa"/>
          </w:tcPr>
          <w:p w:rsidR="000815A3" w:rsidRPr="0066319E" w:rsidRDefault="000815A3" w:rsidP="00F04682">
            <w:pPr>
              <w:spacing w:line="360" w:lineRule="auto"/>
              <w:jc w:val="center"/>
              <w:rPr>
                <w:rFonts w:ascii="Century" w:hAnsi="Century"/>
                <w:sz w:val="24"/>
                <w:szCs w:val="24"/>
                <w:lang w:val="en-US"/>
              </w:rPr>
            </w:pPr>
            <w:r w:rsidRPr="0066319E">
              <w:rPr>
                <w:rFonts w:ascii="Century" w:hAnsi="Century"/>
                <w:sz w:val="24"/>
                <w:szCs w:val="24"/>
                <w:lang w:val="en-US"/>
              </w:rPr>
              <w:t>8</w:t>
            </w:r>
          </w:p>
        </w:tc>
      </w:tr>
      <w:tr w:rsidR="00D23E50" w:rsidRPr="0066319E" w:rsidTr="00D23E50">
        <w:tc>
          <w:tcPr>
            <w:tcW w:w="4800" w:type="dxa"/>
          </w:tcPr>
          <w:p w:rsidR="00D23E50" w:rsidRDefault="00D23E50" w:rsidP="00F04682">
            <w:pPr>
              <w:spacing w:line="360" w:lineRule="auto"/>
              <w:rPr>
                <w:rFonts w:ascii="Century" w:hAnsi="Century"/>
                <w:sz w:val="24"/>
                <w:szCs w:val="24"/>
                <w:lang w:val="en-US"/>
              </w:rPr>
            </w:pPr>
            <w:r>
              <w:rPr>
                <w:rFonts w:ascii="Century" w:hAnsi="Century"/>
                <w:sz w:val="24"/>
                <w:szCs w:val="24"/>
                <w:lang w:val="en-US"/>
              </w:rPr>
              <w:t>UHEM – Ulusal Yüksek Başarımlı Hesap Merkezi (1)</w:t>
            </w:r>
          </w:p>
        </w:tc>
        <w:tc>
          <w:tcPr>
            <w:tcW w:w="2031" w:type="dxa"/>
          </w:tcPr>
          <w:p w:rsidR="00D23E50" w:rsidRPr="0066319E" w:rsidRDefault="00D23E50" w:rsidP="00F04682">
            <w:pPr>
              <w:spacing w:line="360" w:lineRule="auto"/>
              <w:jc w:val="center"/>
              <w:rPr>
                <w:rFonts w:ascii="Century" w:hAnsi="Century"/>
                <w:sz w:val="24"/>
                <w:szCs w:val="24"/>
                <w:lang w:val="en-US"/>
              </w:rPr>
            </w:pPr>
            <w:r>
              <w:rPr>
                <w:rFonts w:ascii="Century" w:hAnsi="Century"/>
                <w:sz w:val="24"/>
                <w:szCs w:val="24"/>
                <w:lang w:val="en-US"/>
              </w:rPr>
              <w:t xml:space="preserve">Linux </w:t>
            </w:r>
            <w:r w:rsidRPr="00D23E50">
              <w:rPr>
                <w:rFonts w:ascii="Century" w:hAnsi="Century"/>
                <w:sz w:val="24"/>
                <w:szCs w:val="24"/>
                <w:lang w:val="en-US"/>
              </w:rPr>
              <w:t>Ubuntu 18.04.4 LTS</w:t>
            </w:r>
          </w:p>
        </w:tc>
        <w:tc>
          <w:tcPr>
            <w:tcW w:w="1216" w:type="dxa"/>
          </w:tcPr>
          <w:p w:rsidR="00D23E50" w:rsidRPr="0066319E" w:rsidRDefault="00D23E50" w:rsidP="00F04682">
            <w:pPr>
              <w:spacing w:line="360" w:lineRule="auto"/>
              <w:jc w:val="center"/>
              <w:rPr>
                <w:rFonts w:ascii="Century" w:hAnsi="Century"/>
                <w:sz w:val="24"/>
                <w:szCs w:val="24"/>
                <w:lang w:val="en-US"/>
              </w:rPr>
            </w:pPr>
            <w:r>
              <w:rPr>
                <w:rFonts w:ascii="Century" w:hAnsi="Century"/>
                <w:sz w:val="24"/>
                <w:szCs w:val="24"/>
                <w:lang w:val="en-US"/>
              </w:rPr>
              <w:t>128 GB</w:t>
            </w:r>
          </w:p>
        </w:tc>
        <w:tc>
          <w:tcPr>
            <w:tcW w:w="1364" w:type="dxa"/>
          </w:tcPr>
          <w:p w:rsidR="00D23E50" w:rsidRPr="0066319E" w:rsidRDefault="00D23E50" w:rsidP="00F04682">
            <w:pPr>
              <w:spacing w:line="360" w:lineRule="auto"/>
              <w:jc w:val="center"/>
              <w:rPr>
                <w:rFonts w:ascii="Century" w:hAnsi="Century"/>
                <w:sz w:val="24"/>
                <w:szCs w:val="24"/>
                <w:lang w:val="en-US"/>
              </w:rPr>
            </w:pPr>
            <w:r>
              <w:rPr>
                <w:rFonts w:ascii="Century" w:hAnsi="Century"/>
                <w:sz w:val="24"/>
                <w:szCs w:val="24"/>
                <w:lang w:val="en-US"/>
              </w:rPr>
              <w:t>28</w:t>
            </w:r>
          </w:p>
        </w:tc>
      </w:tr>
      <w:tr w:rsidR="00D23E50" w:rsidRPr="0066319E" w:rsidTr="00D23E50">
        <w:tc>
          <w:tcPr>
            <w:tcW w:w="4800" w:type="dxa"/>
          </w:tcPr>
          <w:p w:rsidR="00D23E50" w:rsidRDefault="00D23E50" w:rsidP="00D23E50">
            <w:pPr>
              <w:spacing w:line="360" w:lineRule="auto"/>
              <w:rPr>
                <w:rFonts w:ascii="Century" w:hAnsi="Century"/>
                <w:sz w:val="24"/>
                <w:szCs w:val="24"/>
                <w:lang w:val="en-US"/>
              </w:rPr>
            </w:pPr>
            <w:r>
              <w:rPr>
                <w:rFonts w:ascii="Century" w:hAnsi="Century"/>
                <w:sz w:val="24"/>
                <w:szCs w:val="24"/>
                <w:lang w:val="en-US"/>
              </w:rPr>
              <w:t>UHEM – Ulusal Yüksek Başarımlı Hesap Merkezi (2)</w:t>
            </w:r>
          </w:p>
        </w:tc>
        <w:tc>
          <w:tcPr>
            <w:tcW w:w="2031" w:type="dxa"/>
          </w:tcPr>
          <w:p w:rsidR="00D23E50" w:rsidRPr="0066319E" w:rsidRDefault="00D23E50" w:rsidP="00D23E50">
            <w:pPr>
              <w:spacing w:line="360" w:lineRule="auto"/>
              <w:jc w:val="center"/>
              <w:rPr>
                <w:rFonts w:ascii="Century" w:hAnsi="Century"/>
                <w:sz w:val="24"/>
                <w:szCs w:val="24"/>
                <w:lang w:val="en-US"/>
              </w:rPr>
            </w:pPr>
            <w:r>
              <w:rPr>
                <w:rFonts w:ascii="Century" w:hAnsi="Century"/>
                <w:sz w:val="24"/>
                <w:szCs w:val="24"/>
                <w:lang w:val="en-US"/>
              </w:rPr>
              <w:t xml:space="preserve">Linux </w:t>
            </w:r>
            <w:r w:rsidRPr="00D23E50">
              <w:rPr>
                <w:rFonts w:ascii="Century" w:hAnsi="Century"/>
                <w:sz w:val="24"/>
                <w:szCs w:val="24"/>
                <w:lang w:val="en-US"/>
              </w:rPr>
              <w:t>Ubuntu 18.04.4 LTS</w:t>
            </w:r>
          </w:p>
        </w:tc>
        <w:tc>
          <w:tcPr>
            <w:tcW w:w="1216" w:type="dxa"/>
          </w:tcPr>
          <w:p w:rsidR="00D23E50" w:rsidRPr="0066319E" w:rsidRDefault="00D23E50" w:rsidP="00D23E50">
            <w:pPr>
              <w:spacing w:line="360" w:lineRule="auto"/>
              <w:jc w:val="center"/>
              <w:rPr>
                <w:rFonts w:ascii="Century" w:hAnsi="Century"/>
                <w:sz w:val="24"/>
                <w:szCs w:val="24"/>
                <w:lang w:val="en-US"/>
              </w:rPr>
            </w:pPr>
            <w:r>
              <w:rPr>
                <w:rFonts w:ascii="Century" w:hAnsi="Century"/>
                <w:sz w:val="24"/>
                <w:szCs w:val="24"/>
                <w:lang w:val="en-US"/>
              </w:rPr>
              <w:t>128 GB</w:t>
            </w:r>
          </w:p>
        </w:tc>
        <w:tc>
          <w:tcPr>
            <w:tcW w:w="1364" w:type="dxa"/>
          </w:tcPr>
          <w:p w:rsidR="00D23E50" w:rsidRPr="0066319E" w:rsidRDefault="00D23E50" w:rsidP="00D23E50">
            <w:pPr>
              <w:spacing w:line="360" w:lineRule="auto"/>
              <w:jc w:val="center"/>
              <w:rPr>
                <w:rFonts w:ascii="Century" w:hAnsi="Century"/>
                <w:sz w:val="24"/>
                <w:szCs w:val="24"/>
                <w:lang w:val="en-US"/>
              </w:rPr>
            </w:pPr>
            <w:r>
              <w:rPr>
                <w:rFonts w:ascii="Century" w:hAnsi="Century"/>
                <w:sz w:val="24"/>
                <w:szCs w:val="24"/>
                <w:lang w:val="en-US"/>
              </w:rPr>
              <w:t>28</w:t>
            </w:r>
          </w:p>
        </w:tc>
      </w:tr>
    </w:tbl>
    <w:p w:rsidR="000815A3" w:rsidRDefault="000815A3" w:rsidP="00E63553">
      <w:pPr>
        <w:spacing w:line="360" w:lineRule="auto"/>
        <w:jc w:val="both"/>
        <w:rPr>
          <w:rFonts w:ascii="Century" w:eastAsiaTheme="minorEastAsia" w:hAnsi="Century"/>
          <w:sz w:val="24"/>
        </w:rPr>
      </w:pPr>
      <w:bookmarkStart w:id="0" w:name="_GoBack"/>
      <w:bookmarkEnd w:id="0"/>
    </w:p>
    <w:sectPr w:rsidR="0008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w:panose1 w:val="0204060405050502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0390"/>
    <w:multiLevelType w:val="hybridMultilevel"/>
    <w:tmpl w:val="207EF73C"/>
    <w:lvl w:ilvl="0" w:tplc="8926F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AC6CB7"/>
    <w:multiLevelType w:val="hybridMultilevel"/>
    <w:tmpl w:val="2F066128"/>
    <w:lvl w:ilvl="0" w:tplc="799A7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516EF8"/>
    <w:multiLevelType w:val="hybridMultilevel"/>
    <w:tmpl w:val="2B7EEA8A"/>
    <w:lvl w:ilvl="0" w:tplc="992E06D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8DD703E"/>
    <w:multiLevelType w:val="hybridMultilevel"/>
    <w:tmpl w:val="A66C0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38"/>
    <w:rsid w:val="00000D3E"/>
    <w:rsid w:val="000044BE"/>
    <w:rsid w:val="000159F8"/>
    <w:rsid w:val="0001799D"/>
    <w:rsid w:val="00025CD4"/>
    <w:rsid w:val="00032408"/>
    <w:rsid w:val="0003521B"/>
    <w:rsid w:val="000434D3"/>
    <w:rsid w:val="00051240"/>
    <w:rsid w:val="0008118A"/>
    <w:rsid w:val="000815A3"/>
    <w:rsid w:val="0008668E"/>
    <w:rsid w:val="00087550"/>
    <w:rsid w:val="00087B6D"/>
    <w:rsid w:val="00096E77"/>
    <w:rsid w:val="00097036"/>
    <w:rsid w:val="00097291"/>
    <w:rsid w:val="00097A54"/>
    <w:rsid w:val="000A415B"/>
    <w:rsid w:val="000B3BF7"/>
    <w:rsid w:val="000B5539"/>
    <w:rsid w:val="000B7C59"/>
    <w:rsid w:val="000D28B7"/>
    <w:rsid w:val="000E32F4"/>
    <w:rsid w:val="00101FCA"/>
    <w:rsid w:val="001342A3"/>
    <w:rsid w:val="00175668"/>
    <w:rsid w:val="00177C87"/>
    <w:rsid w:val="001A6C72"/>
    <w:rsid w:val="001B6EF7"/>
    <w:rsid w:val="001F1867"/>
    <w:rsid w:val="001F1E3D"/>
    <w:rsid w:val="001F39C7"/>
    <w:rsid w:val="00203830"/>
    <w:rsid w:val="00203963"/>
    <w:rsid w:val="00212C91"/>
    <w:rsid w:val="00241F81"/>
    <w:rsid w:val="00261F63"/>
    <w:rsid w:val="00281F57"/>
    <w:rsid w:val="0028303B"/>
    <w:rsid w:val="00297DB8"/>
    <w:rsid w:val="002A11DA"/>
    <w:rsid w:val="002A3294"/>
    <w:rsid w:val="002B334C"/>
    <w:rsid w:val="002C630D"/>
    <w:rsid w:val="002D289A"/>
    <w:rsid w:val="002D31DF"/>
    <w:rsid w:val="002F07BE"/>
    <w:rsid w:val="002F739F"/>
    <w:rsid w:val="002F791D"/>
    <w:rsid w:val="00314507"/>
    <w:rsid w:val="00314E6B"/>
    <w:rsid w:val="003234A3"/>
    <w:rsid w:val="0032395D"/>
    <w:rsid w:val="003250E7"/>
    <w:rsid w:val="0032786A"/>
    <w:rsid w:val="00331C76"/>
    <w:rsid w:val="00343AD3"/>
    <w:rsid w:val="00352D13"/>
    <w:rsid w:val="003547C8"/>
    <w:rsid w:val="003575A4"/>
    <w:rsid w:val="00367071"/>
    <w:rsid w:val="003757AC"/>
    <w:rsid w:val="00381043"/>
    <w:rsid w:val="00384290"/>
    <w:rsid w:val="0038776D"/>
    <w:rsid w:val="00392521"/>
    <w:rsid w:val="003A5BC4"/>
    <w:rsid w:val="003B518B"/>
    <w:rsid w:val="003B78EA"/>
    <w:rsid w:val="003C0B9A"/>
    <w:rsid w:val="003C30F8"/>
    <w:rsid w:val="00412C11"/>
    <w:rsid w:val="004359F7"/>
    <w:rsid w:val="004425C5"/>
    <w:rsid w:val="00453868"/>
    <w:rsid w:val="0046553E"/>
    <w:rsid w:val="004778CE"/>
    <w:rsid w:val="00487775"/>
    <w:rsid w:val="004B52A2"/>
    <w:rsid w:val="004C0EEE"/>
    <w:rsid w:val="004C71DD"/>
    <w:rsid w:val="004F3472"/>
    <w:rsid w:val="00522BFE"/>
    <w:rsid w:val="00524ABA"/>
    <w:rsid w:val="00526A8A"/>
    <w:rsid w:val="00531473"/>
    <w:rsid w:val="005476EA"/>
    <w:rsid w:val="00551CBF"/>
    <w:rsid w:val="00557E83"/>
    <w:rsid w:val="00562566"/>
    <w:rsid w:val="0056478F"/>
    <w:rsid w:val="00597598"/>
    <w:rsid w:val="005B3145"/>
    <w:rsid w:val="005B5234"/>
    <w:rsid w:val="005C4933"/>
    <w:rsid w:val="005C6052"/>
    <w:rsid w:val="0064257D"/>
    <w:rsid w:val="0064511E"/>
    <w:rsid w:val="00671217"/>
    <w:rsid w:val="006B038F"/>
    <w:rsid w:val="006C08E9"/>
    <w:rsid w:val="006C5978"/>
    <w:rsid w:val="006D4C09"/>
    <w:rsid w:val="006D5BEB"/>
    <w:rsid w:val="006E0313"/>
    <w:rsid w:val="006F55AB"/>
    <w:rsid w:val="00707418"/>
    <w:rsid w:val="00711921"/>
    <w:rsid w:val="007178DC"/>
    <w:rsid w:val="00752FA2"/>
    <w:rsid w:val="00755F42"/>
    <w:rsid w:val="00762427"/>
    <w:rsid w:val="00780D15"/>
    <w:rsid w:val="007822E9"/>
    <w:rsid w:val="00787D0F"/>
    <w:rsid w:val="00791C2A"/>
    <w:rsid w:val="00791F5E"/>
    <w:rsid w:val="007A2A43"/>
    <w:rsid w:val="007B2D0C"/>
    <w:rsid w:val="007C0F02"/>
    <w:rsid w:val="007D5903"/>
    <w:rsid w:val="00827656"/>
    <w:rsid w:val="00843EF0"/>
    <w:rsid w:val="00854572"/>
    <w:rsid w:val="008551DC"/>
    <w:rsid w:val="008754E1"/>
    <w:rsid w:val="00894329"/>
    <w:rsid w:val="008B3312"/>
    <w:rsid w:val="008D01E0"/>
    <w:rsid w:val="008E4579"/>
    <w:rsid w:val="009255EB"/>
    <w:rsid w:val="0096058A"/>
    <w:rsid w:val="0098015E"/>
    <w:rsid w:val="009A2BC3"/>
    <w:rsid w:val="009B1E4E"/>
    <w:rsid w:val="009B25B7"/>
    <w:rsid w:val="009C5291"/>
    <w:rsid w:val="009D68A6"/>
    <w:rsid w:val="00A117EA"/>
    <w:rsid w:val="00A23EC8"/>
    <w:rsid w:val="00A26D11"/>
    <w:rsid w:val="00A43A18"/>
    <w:rsid w:val="00A466A2"/>
    <w:rsid w:val="00A71C4E"/>
    <w:rsid w:val="00A80638"/>
    <w:rsid w:val="00A82BD0"/>
    <w:rsid w:val="00A91712"/>
    <w:rsid w:val="00AB22AF"/>
    <w:rsid w:val="00AB27DD"/>
    <w:rsid w:val="00AC26C6"/>
    <w:rsid w:val="00B377B9"/>
    <w:rsid w:val="00B53A02"/>
    <w:rsid w:val="00B54627"/>
    <w:rsid w:val="00B550F9"/>
    <w:rsid w:val="00B77CF2"/>
    <w:rsid w:val="00B82BA4"/>
    <w:rsid w:val="00BA2762"/>
    <w:rsid w:val="00BA73EE"/>
    <w:rsid w:val="00BF0A9E"/>
    <w:rsid w:val="00C206BE"/>
    <w:rsid w:val="00C76147"/>
    <w:rsid w:val="00C77213"/>
    <w:rsid w:val="00C8035A"/>
    <w:rsid w:val="00CA2DE1"/>
    <w:rsid w:val="00CF6C75"/>
    <w:rsid w:val="00D07DFB"/>
    <w:rsid w:val="00D10443"/>
    <w:rsid w:val="00D14A4D"/>
    <w:rsid w:val="00D153FE"/>
    <w:rsid w:val="00D21564"/>
    <w:rsid w:val="00D23721"/>
    <w:rsid w:val="00D23E50"/>
    <w:rsid w:val="00D47585"/>
    <w:rsid w:val="00D552B3"/>
    <w:rsid w:val="00DA570D"/>
    <w:rsid w:val="00DD3406"/>
    <w:rsid w:val="00DF17AE"/>
    <w:rsid w:val="00DF7660"/>
    <w:rsid w:val="00E14DB8"/>
    <w:rsid w:val="00E23DBF"/>
    <w:rsid w:val="00E30C7F"/>
    <w:rsid w:val="00E63553"/>
    <w:rsid w:val="00E678CB"/>
    <w:rsid w:val="00E770F7"/>
    <w:rsid w:val="00E92313"/>
    <w:rsid w:val="00E954B3"/>
    <w:rsid w:val="00EA71F5"/>
    <w:rsid w:val="00EB45BD"/>
    <w:rsid w:val="00ED3A65"/>
    <w:rsid w:val="00F04682"/>
    <w:rsid w:val="00F06A19"/>
    <w:rsid w:val="00F147DD"/>
    <w:rsid w:val="00F16888"/>
    <w:rsid w:val="00F262A5"/>
    <w:rsid w:val="00FA5F9C"/>
    <w:rsid w:val="00FD0C97"/>
    <w:rsid w:val="00FD2DD2"/>
    <w:rsid w:val="00FF2EBA"/>
    <w:rsid w:val="00FF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9174"/>
  <w15:chartTrackingRefBased/>
  <w15:docId w15:val="{D92852A0-9167-440D-AA40-2216156B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64"/>
  </w:style>
  <w:style w:type="paragraph" w:styleId="Balk2">
    <w:name w:val="heading 2"/>
    <w:basedOn w:val="Normal"/>
    <w:next w:val="Normal"/>
    <w:link w:val="Balk2Char"/>
    <w:uiPriority w:val="9"/>
    <w:unhideWhenUsed/>
    <w:qFormat/>
    <w:rsid w:val="000159F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59F8"/>
    <w:rPr>
      <w:rFonts w:asciiTheme="majorHAnsi" w:eastAsiaTheme="majorEastAsia" w:hAnsiTheme="majorHAnsi" w:cstheme="majorBidi"/>
      <w:color w:val="2E74B5" w:themeColor="accent1" w:themeShade="BF"/>
      <w:sz w:val="26"/>
      <w:szCs w:val="26"/>
      <w:lang w:eastAsia="tr-TR"/>
    </w:rPr>
  </w:style>
  <w:style w:type="table" w:styleId="TabloKlavuzu">
    <w:name w:val="Table Grid"/>
    <w:basedOn w:val="NormalTablo"/>
    <w:uiPriority w:val="59"/>
    <w:rsid w:val="00D2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21564"/>
    <w:pPr>
      <w:spacing w:after="200" w:line="240" w:lineRule="auto"/>
    </w:pPr>
    <w:rPr>
      <w:i/>
      <w:iCs/>
      <w:color w:val="44546A" w:themeColor="text2"/>
      <w:sz w:val="18"/>
      <w:szCs w:val="18"/>
    </w:rPr>
  </w:style>
  <w:style w:type="paragraph" w:styleId="ListeParagraf">
    <w:name w:val="List Paragraph"/>
    <w:basedOn w:val="Normal"/>
    <w:uiPriority w:val="34"/>
    <w:qFormat/>
    <w:rsid w:val="00D21564"/>
    <w:pPr>
      <w:ind w:left="720"/>
      <w:contextualSpacing/>
    </w:pPr>
  </w:style>
  <w:style w:type="character" w:customStyle="1" w:styleId="BalonMetniChar">
    <w:name w:val="Balon Metni Char"/>
    <w:basedOn w:val="VarsaylanParagrafYazTipi"/>
    <w:link w:val="BalonMetni"/>
    <w:uiPriority w:val="99"/>
    <w:semiHidden/>
    <w:rsid w:val="000159F8"/>
    <w:rPr>
      <w:rFonts w:ascii="Segoe UI" w:eastAsia="Times New Roman" w:hAnsi="Segoe UI" w:cs="Segoe UI"/>
      <w:sz w:val="18"/>
      <w:szCs w:val="18"/>
      <w:lang w:eastAsia="tr-TR"/>
    </w:rPr>
  </w:style>
  <w:style w:type="paragraph" w:styleId="BalonMetni">
    <w:name w:val="Balloon Text"/>
    <w:basedOn w:val="Normal"/>
    <w:link w:val="BalonMetniChar"/>
    <w:uiPriority w:val="99"/>
    <w:semiHidden/>
    <w:unhideWhenUsed/>
    <w:rsid w:val="000159F8"/>
    <w:pPr>
      <w:spacing w:after="0" w:line="240" w:lineRule="auto"/>
    </w:pPr>
    <w:rPr>
      <w:rFonts w:ascii="Segoe UI" w:eastAsia="Times New Roman" w:hAnsi="Segoe UI" w:cs="Segoe UI"/>
      <w:sz w:val="18"/>
      <w:szCs w:val="18"/>
      <w:lang w:eastAsia="tr-TR"/>
    </w:rPr>
  </w:style>
  <w:style w:type="character" w:customStyle="1" w:styleId="stBilgiChar">
    <w:name w:val="Üst Bilgi Char"/>
    <w:basedOn w:val="VarsaylanParagrafYazTipi"/>
    <w:link w:val="stBilgi"/>
    <w:uiPriority w:val="99"/>
    <w:semiHidden/>
    <w:rsid w:val="000159F8"/>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0159F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0159F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semiHidden/>
    <w:rsid w:val="000159F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0159F8"/>
    <w:rPr>
      <w:color w:val="0563C1" w:themeColor="hyperlink"/>
      <w:u w:val="single"/>
    </w:rPr>
  </w:style>
  <w:style w:type="character" w:styleId="HTMLCite">
    <w:name w:val="HTML Cite"/>
    <w:basedOn w:val="VarsaylanParagrafYazTipi"/>
    <w:uiPriority w:val="99"/>
    <w:semiHidden/>
    <w:unhideWhenUsed/>
    <w:rsid w:val="000159F8"/>
    <w:rPr>
      <w:i/>
      <w:iCs/>
    </w:rPr>
  </w:style>
  <w:style w:type="character" w:customStyle="1" w:styleId="reference-text">
    <w:name w:val="reference-text"/>
    <w:basedOn w:val="VarsaylanParagrafYazTipi"/>
    <w:rsid w:val="0001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5379</TotalTime>
  <Pages>11</Pages>
  <Words>3086</Words>
  <Characters>17591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ERTÜRK ZARARSIZ</dc:creator>
  <cp:keywords/>
  <dc:description/>
  <cp:lastModifiedBy>ronaldinho424</cp:lastModifiedBy>
  <cp:revision>210</cp:revision>
  <dcterms:created xsi:type="dcterms:W3CDTF">2020-01-20T21:53:00Z</dcterms:created>
  <dcterms:modified xsi:type="dcterms:W3CDTF">2020-05-04T15:34:00Z</dcterms:modified>
</cp:coreProperties>
</file>